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CARNET DE SUIVI DES APPRENTISSAGES · 2026-2027</w:t>
      </w:r>
    </w:p>
    <w:p>
      <w:pPr>
        <w:spacing w:after="80"/>
      </w:pPr>
      <w:r>
        <w:rPr>
          <w:rFonts w:ascii="Nunito" w:hAnsi="Nunito"/>
          <w:b/>
          <w:color w:val="1F6F4E"/>
          <w:sz w:val="44"/>
        </w:rPr>
        <w:t>Petite section</w:t>
      </w:r>
    </w:p>
    <w:p>
      <w:pPr>
        <w:spacing w:after="200"/>
      </w:pPr>
      <w:r>
        <w:rPr>
          <w:rFonts w:ascii="Nunito" w:hAnsi="Nunito"/>
          <w:b w:val="0"/>
          <w:color w:val="1A2420"/>
          <w:sz w:val="20"/>
        </w:rPr>
        <w:t>129 attendus de fin de petite section, dans l'ordre du programme 2026, à observer au fil de l'année.</w:t>
      </w:r>
    </w:p>
    <w:tbl>
      <w:tblPr>
        <w:tblStyle w:val="TableGrid"/>
        <w:tblW w:type="auto" w:w="0"/>
        <w:tblLook w:firstColumn="1" w:firstRow="1" w:lastColumn="0" w:lastRow="0" w:noHBand="0" w:noVBand="1" w:val="04A0"/>
      </w:tblPr>
      <w:tblGrid>
        <w:gridCol w:w="5213"/>
        <w:gridCol w:w="5213"/>
      </w:tblGrid>
      <w:tr>
        <w:trPr>
          <w:trHeight w:val="539" w:hRule="atLeast"/>
        </w:trPr>
        <w:tc>
          <w:tcPr>
            <w:tcW w:type="dxa" w:w="3515"/>
            <w:shd w:fill="F3F8F5"/>
          </w:tcPr>
          <w:p>
            <w:pPr>
              <w:spacing w:before="20" w:after="20"/>
            </w:pPr>
            <w:r/>
            <w:r>
              <w:rPr>
                <w:rFonts w:ascii="Nunito" w:hAnsi="Nunito"/>
                <w:b/>
                <w:color w:val="1A2420"/>
                <w:sz w:val="18"/>
              </w:rPr>
              <w:t>Nom et prénom de l'enfant</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Date de naissance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École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Enseignant·e</w:t>
            </w:r>
          </w:p>
        </w:tc>
        <w:tc>
          <w:tcPr>
            <w:tcW w:type="dxa" w:w="6576"/>
          </w:tcPr>
          <w:p/>
        </w:tc>
      </w:tr>
      <w:tr>
        <w:trPr>
          <w:trHeight w:val="539" w:hRule="atLeast"/>
        </w:trPr>
        <w:tc>
          <w:tcPr>
            <w:tcW w:type="dxa" w:w="3515"/>
            <w:shd w:fill="F3F8F5"/>
          </w:tcPr>
          <w:p>
            <w:pPr>
              <w:spacing w:before="20" w:after="20"/>
            </w:pPr>
            <w:r/>
            <w:r>
              <w:rPr>
                <w:rFonts w:ascii="Nunito" w:hAnsi="Nunito"/>
                <w:b/>
                <w:color w:val="1A2420"/>
                <w:sz w:val="18"/>
              </w:rPr>
              <w:t>Année scolaire 2026-2027</w:t>
            </w:r>
          </w:p>
        </w:tc>
        <w:tc>
          <w:tcPr>
            <w:tcW w:type="dxa" w:w="6576"/>
          </w:tcPr>
          <w:p/>
        </w:tc>
      </w:tr>
    </w:tbl>
    <w:p/>
    <w:p>
      <w:pPr>
        <w:spacing w:after="80"/>
      </w:pPr>
      <w:r>
        <w:rPr>
          <w:rFonts w:ascii="Nunito" w:hAnsi="Nunito"/>
          <w:b/>
          <w:color w:val="1F6F4E"/>
          <w:sz w:val="22"/>
        </w:rPr>
        <w:t>Ce que contient ce carnet</w:t>
      </w:r>
    </w:p>
    <w:p>
      <w:pPr>
        <w:pStyle w:val="ListBullet"/>
        <w:spacing w:after="40"/>
      </w:pPr>
      <w:r>
        <w:rPr>
          <w:rFonts w:ascii="Nunito" w:hAnsi="Nunito"/>
          <w:color w:val="1A2420"/>
          <w:sz w:val="19"/>
        </w:rPr>
        <w:t>Le développement et la structuration du langage oral et écrit : 27 attendus</w:t>
      </w:r>
    </w:p>
    <w:p>
      <w:pPr>
        <w:pStyle w:val="ListBullet"/>
        <w:spacing w:after="40"/>
      </w:pPr>
      <w:r>
        <w:rPr>
          <w:rFonts w:ascii="Nunito" w:hAnsi="Nunito"/>
          <w:color w:val="1A2420"/>
          <w:sz w:val="19"/>
        </w:rPr>
        <w:t>Agir, s'exprimer, comprendre à travers les activités physiques : 12 attendus</w:t>
      </w:r>
    </w:p>
    <w:p>
      <w:pPr>
        <w:pStyle w:val="ListBullet"/>
        <w:spacing w:after="40"/>
      </w:pPr>
      <w:r>
        <w:rPr>
          <w:rFonts w:ascii="Nunito" w:hAnsi="Nunito"/>
          <w:color w:val="1A2420"/>
          <w:sz w:val="19"/>
        </w:rPr>
        <w:t>Agir, s'exprimer, comprendre à travers les activités artistiques : 24 attendus</w:t>
      </w:r>
    </w:p>
    <w:p>
      <w:pPr>
        <w:pStyle w:val="ListBullet"/>
        <w:spacing w:after="40"/>
      </w:pPr>
      <w:r>
        <w:rPr>
          <w:rFonts w:ascii="Nunito" w:hAnsi="Nunito"/>
          <w:color w:val="1A2420"/>
          <w:sz w:val="19"/>
        </w:rPr>
        <w:t>Acquisition des premiers outils mathématiques : 17 attendus</w:t>
      </w:r>
    </w:p>
    <w:p>
      <w:pPr>
        <w:pStyle w:val="ListBullet"/>
        <w:spacing w:after="40"/>
      </w:pPr>
      <w:r>
        <w:rPr>
          <w:rFonts w:ascii="Nunito" w:hAnsi="Nunito"/>
          <w:color w:val="1A2420"/>
          <w:sz w:val="19"/>
        </w:rPr>
        <w:t>Se repérer dans le temps et l'espace : 22 attendus</w:t>
      </w:r>
    </w:p>
    <w:p>
      <w:pPr>
        <w:pStyle w:val="ListBullet"/>
        <w:spacing w:after="40"/>
      </w:pPr>
      <w:r>
        <w:rPr>
          <w:rFonts w:ascii="Nunito" w:hAnsi="Nunito"/>
          <w:color w:val="1A2420"/>
          <w:sz w:val="19"/>
        </w:rPr>
        <w:t>Découvrir le monde du vivant, de la matière et des objets : 14 attendus</w:t>
      </w:r>
    </w:p>
    <w:p>
      <w:pPr>
        <w:pStyle w:val="ListBullet"/>
        <w:spacing w:after="40"/>
      </w:pPr>
      <w:r>
        <w:rPr>
          <w:rFonts w:ascii="Nunito" w:hAnsi="Nunito"/>
          <w:color w:val="1A2420"/>
          <w:sz w:val="19"/>
        </w:rPr>
        <w:t>Apprendre ensemble et vivre ensemble : 13 attendus (transversal)</w:t>
      </w:r>
    </w:p>
    <w:p/>
    <w:p>
      <w:pPr>
        <w:spacing w:after="80"/>
      </w:pPr>
      <w:r>
        <w:rPr>
          <w:rFonts w:ascii="Nunito" w:hAnsi="Nunito"/>
          <w:b/>
          <w:color w:val="1F6F4E"/>
          <w:sz w:val="22"/>
        </w:rPr>
        <w:t>Comment s'en servir</w:t>
      </w:r>
    </w:p>
    <w:p>
      <w:pPr>
        <w:spacing w:after="200"/>
      </w:pPr>
      <w:r>
        <w:rPr>
          <w:rFonts w:ascii="Nunito" w:hAnsi="Nunito"/>
          <w:b w:val="0"/>
          <w:color w:val="1A2420"/>
          <w:sz w:val="19"/>
        </w:rPr>
        <w:t>Chaque attendu de fin de section occupe une ligne. Quand vous observez l'enfant en réussite, notez la période ou la date, cochez la case et, si c'est utile, un mot sur le contexte ou le niveau d'aide. Un attendu peut être observé plusieurs fois avant d'être acquis : la colonne de commentaire est là pour ça. Rien n'oblige à tout remplir, le carnet suit l'enfant, pas la programmation.</w:t>
      </w:r>
    </w:p>
    <w:p>
      <w:pPr>
        <w:spacing w:after="80"/>
      </w:pPr>
      <w:r>
        <w:rPr>
          <w:rFonts w:ascii="Nunito" w:hAnsi="Nunito"/>
          <w:b/>
          <w:color w:val="1F6F4E"/>
          <w:sz w:val="22"/>
        </w:rPr>
        <w:t>Le texte de référence</w:t>
      </w:r>
    </w:p>
    <w:p>
      <w:pPr>
        <w:spacing w:after="120"/>
      </w:pPr>
      <w:r>
        <w:rPr>
          <w:rFonts w:ascii="Nunito" w:hAnsi="Nunito"/>
          <w:b w:val="0"/>
          <w:color w:val="6B7280"/>
          <w:sz w:val="18"/>
        </w:rPr>
        <w:t>Arrêté du 16 avril 2026, publié au BO n°19 du 7 mai 2026, applicable à la rentrée 2026. Les intitulés des domaines et les attendus sont recopiés du texte, sans reformulation. Les exemples de réussite qui les accompagnent sont consultables sur tifox-maternelle.fr/programme-maternelle-2026.</w:t>
      </w:r>
    </w:p>
    <w:p>
      <w:r>
        <w:br w:type="page"/>
      </w:r>
    </w:p>
    <w:p>
      <w:pPr>
        <w:spacing w:after="80"/>
      </w:pPr>
      <w:r>
        <w:rPr>
          <w:rFonts w:ascii="Nunito" w:hAnsi="Nunito"/>
          <w:b/>
          <w:color w:val="1F6F4E"/>
          <w:sz w:val="24"/>
        </w:rPr>
        <w:t>Le développement et la structuration du langage oral et écrit</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Acquérir le langage oral</w:t>
            </w:r>
          </w:p>
        </w:tc>
      </w:tr>
      <w:tr>
        <w:tc>
          <w:tcPr>
            <w:tcW w:type="dxa" w:w="3061"/>
            <w:gridSpan w:val="4"/>
          </w:tcPr>
          <w:p>
            <w:pPr>
              <w:spacing w:before="20" w:after="20"/>
            </w:pPr>
            <w:r>
              <w:rPr>
                <w:i/>
              </w:rPr>
            </w:r>
            <w:r>
              <w:rPr>
                <w:rFonts w:ascii="Nunito" w:hAnsi="Nunito"/>
                <w:b w:val="0"/>
                <w:color w:val="6B7280"/>
                <w:sz w:val="16"/>
              </w:rPr>
              <w:t>Enrichir son vocabulaire</w:t>
            </w:r>
          </w:p>
        </w:tc>
      </w:tr>
      <w:tr>
        <w:trPr>
          <w:trHeight w:val="482" w:hRule="atLeast"/>
        </w:trPr>
        <w:tc>
          <w:tcPr>
            <w:tcW w:type="dxa" w:w="4706"/>
          </w:tcPr>
          <w:p>
            <w:pPr>
              <w:spacing w:before="20" w:after="20"/>
            </w:pPr>
            <w:r/>
            <w:r>
              <w:rPr>
                <w:rFonts w:ascii="Nunito" w:hAnsi="Nunito"/>
                <w:b w:val="0"/>
                <w:sz w:val="17"/>
              </w:rPr>
              <w:t>Comprendre, mémoriser, réemployer les mots des corpus enseignés (2 par période)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Organiser les mots en catégorie et en réseau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Développer sa syntaxe</w:t>
            </w:r>
          </w:p>
        </w:tc>
      </w:tr>
      <w:tr>
        <w:trPr>
          <w:trHeight w:val="482" w:hRule="atLeast"/>
        </w:trPr>
        <w:tc>
          <w:tcPr>
            <w:tcW w:type="dxa" w:w="4706"/>
          </w:tcPr>
          <w:p>
            <w:pPr>
              <w:spacing w:before="20" w:after="20"/>
            </w:pPr>
            <w:r/>
            <w:r>
              <w:rPr>
                <w:rFonts w:ascii="Nunito" w:hAnsi="Nunito"/>
                <w:b w:val="0"/>
                <w:sz w:val="17"/>
              </w:rPr>
              <w:t>Diversifier les pronoms employés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Construire à l'oral un système de temps de plus en plus efficace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Formuler des énoncés de plus en plus complexes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Articuler distinctement</w:t>
            </w:r>
          </w:p>
        </w:tc>
      </w:tr>
      <w:tr>
        <w:trPr>
          <w:trHeight w:val="482" w:hRule="atLeast"/>
        </w:trPr>
        <w:tc>
          <w:tcPr>
            <w:tcW w:type="dxa" w:w="4706"/>
          </w:tcPr>
          <w:p>
            <w:pPr>
              <w:spacing w:before="20" w:after="20"/>
            </w:pPr>
            <w:r/>
            <w:r>
              <w:rPr>
                <w:rFonts w:ascii="Nunito" w:hAnsi="Nunito"/>
                <w:b w:val="0"/>
                <w:sz w:val="17"/>
              </w:rPr>
              <w:t>Articuler distinctement les couples de consonnes proches suivants : t/k, f/s, m/n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discours variés</w:t>
            </w:r>
          </w:p>
        </w:tc>
      </w:tr>
      <w:tr>
        <w:trPr>
          <w:trHeight w:val="482" w:hRule="atLeast"/>
        </w:trPr>
        <w:tc>
          <w:tcPr>
            <w:tcW w:type="dxa" w:w="4706"/>
          </w:tcPr>
          <w:p>
            <w:pPr>
              <w:spacing w:before="20" w:after="20"/>
            </w:pPr>
            <w:r/>
            <w:r>
              <w:rPr>
                <w:rFonts w:ascii="Nunito" w:hAnsi="Nunito"/>
                <w:b w:val="0"/>
                <w:sz w:val="17"/>
              </w:rPr>
              <w:t>Entrer en communication verbale avec un adulte ou un autre élève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ce qu'on fait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ce qu'on a fait et, peu à peu, ce qu'on va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Prendre part à l'oralisation d'un court texte mémorisé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lire</w:t>
            </w:r>
          </w:p>
        </w:tc>
      </w:tr>
      <w:tr>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4706"/>
          </w:tcPr>
          <w:p>
            <w:pPr>
              <w:spacing w:before="20" w:after="20"/>
            </w:pPr>
            <w:r/>
            <w:r>
              <w:rPr>
                <w:rFonts w:ascii="Nunito" w:hAnsi="Nunito"/>
                <w:b w:val="0"/>
                <w:sz w:val="17"/>
              </w:rPr>
              <w:t>Identifier les sons de la langue, lors de situations d'écoute proposées par le professeur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un mot donné à l'oral dans une phrase, dans un texte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Manipuler des syllabes orales puis des phonèmes</w:t>
            </w:r>
          </w:p>
        </w:tc>
      </w:tr>
      <w:tr>
        <w:trPr>
          <w:trHeight w:val="482" w:hRule="atLeast"/>
        </w:trPr>
        <w:tc>
          <w:tcPr>
            <w:tcW w:type="dxa" w:w="4706"/>
          </w:tcPr>
          <w:p>
            <w:pPr>
              <w:spacing w:before="20" w:after="20"/>
            </w:pPr>
            <w:r/>
            <w:r>
              <w:rPr>
                <w:rFonts w:ascii="Nunito" w:hAnsi="Nunito"/>
                <w:b w:val="0"/>
                <w:sz w:val="17"/>
              </w:rPr>
              <w:t>Scander les syllabes d'un mot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des comptines courtes comprenant des phonèmes proches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Connaitre le nom des lettres</w:t>
            </w:r>
          </w:p>
        </w:tc>
      </w:tr>
      <w:tr>
        <w:trPr>
          <w:trHeight w:val="482" w:hRule="atLeast"/>
        </w:trPr>
        <w:tc>
          <w:tcPr>
            <w:tcW w:type="dxa" w:w="4706"/>
          </w:tcPr>
          <w:p>
            <w:pPr>
              <w:spacing w:before="20" w:after="20"/>
            </w:pPr>
            <w:r/>
            <w:r>
              <w:rPr>
                <w:rFonts w:ascii="Nunito" w:hAnsi="Nunito"/>
                <w:b w:val="0"/>
                <w:sz w:val="17"/>
              </w:rPr>
              <w:t>Reconnaître et nommer certaines lettres de son prénom écrit en capitales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Écouter, identifier, discriminer et reproduire des sons</w:t>
            </w:r>
          </w:p>
        </w:tc>
      </w:tr>
      <w:tr>
        <w:trPr>
          <w:trHeight w:val="482" w:hRule="atLeast"/>
        </w:trPr>
        <w:tc>
          <w:tcPr>
            <w:tcW w:type="dxa" w:w="4706"/>
          </w:tcPr>
          <w:p>
            <w:pPr>
              <w:spacing w:before="20" w:after="20"/>
            </w:pPr>
            <w:r/>
            <w:r>
              <w:rPr>
                <w:rFonts w:ascii="Nunito" w:hAnsi="Nunito"/>
                <w:b w:val="0"/>
                <w:sz w:val="17"/>
              </w:rPr>
              <w:t>Écouter des chants, des comptines, des histoires connues dans des versions en français et en langue étrangère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Découvrir les supports de l'écrit</w:t>
            </w:r>
          </w:p>
        </w:tc>
      </w:tr>
      <w:tr>
        <w:trPr>
          <w:trHeight w:val="482" w:hRule="atLeast"/>
        </w:trPr>
        <w:tc>
          <w:tcPr>
            <w:tcW w:type="dxa" w:w="4706"/>
          </w:tcPr>
          <w:p>
            <w:pPr>
              <w:spacing w:before="20" w:after="20"/>
            </w:pPr>
            <w:r/>
            <w:r>
              <w:rPr>
                <w:rFonts w:ascii="Nunito" w:hAnsi="Nunito"/>
                <w:b w:val="0"/>
                <w:sz w:val="17"/>
              </w:rPr>
              <w:t>Repérer les outils fonctionnels utilisés quotidiennement en classe (étiquette du prénom, emploi du temps, affiches,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Reconnaître quelques écrits utilisés et produits en classe (comptines, recettes, carnet de lecteur)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Comprendre des textes lus par le professeur</w:t>
            </w:r>
          </w:p>
        </w:tc>
      </w:tr>
      <w:tr>
        <w:trPr>
          <w:trHeight w:val="482" w:hRule="atLeast"/>
        </w:trPr>
        <w:tc>
          <w:tcPr>
            <w:tcW w:type="dxa" w:w="4706"/>
          </w:tcPr>
          <w:p>
            <w:pPr>
              <w:spacing w:before="20" w:after="20"/>
            </w:pPr>
            <w:r/>
            <w:r>
              <w:rPr>
                <w:rFonts w:ascii="Nunito" w:hAnsi="Nunito"/>
                <w:b w:val="0"/>
                <w:sz w:val="17"/>
              </w:rPr>
              <w:t>Reconnaître un personnage, le nommer et le situer dans les illustrations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des histoires où l'enchaînement des actions peut être rattaché à des expériences connues de la vie quotidienne (le bain, le coucher, etc.)</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Passer de l’oral à l’écrit : se préparer à apprendre à écrire</w:t>
            </w:r>
          </w:p>
        </w:tc>
      </w:tr>
      <w:tr>
        <w:tc>
          <w:tcPr>
            <w:tcW w:type="dxa" w:w="3061"/>
            <w:gridSpan w:val="4"/>
          </w:tcPr>
          <w:p>
            <w:pPr>
              <w:spacing w:before="20" w:after="20"/>
            </w:pPr>
            <w:r>
              <w:rPr>
                <w:i/>
              </w:rPr>
            </w:r>
            <w:r>
              <w:rPr>
                <w:rFonts w:ascii="Nunito" w:hAnsi="Nunito"/>
                <w:b w:val="0"/>
                <w:color w:val="6B7280"/>
                <w:sz w:val="16"/>
              </w:rPr>
              <w:t>Apprendre le geste d'écriture</w:t>
            </w:r>
          </w:p>
        </w:tc>
      </w:tr>
      <w:tr>
        <w:trPr>
          <w:trHeight w:val="482" w:hRule="atLeast"/>
        </w:trPr>
        <w:tc>
          <w:tcPr>
            <w:tcW w:type="dxa" w:w="4706"/>
          </w:tcPr>
          <w:p>
            <w:pPr>
              <w:spacing w:before="20" w:after="20"/>
            </w:pPr>
            <w:r/>
            <w:r>
              <w:rPr>
                <w:rFonts w:ascii="Nunito" w:hAnsi="Nunito"/>
                <w:b w:val="0"/>
                <w:sz w:val="17"/>
              </w:rPr>
              <w:t>Participer aux activités de motricité générale, de motricité fine et aux exercices de graphismes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Guider son geste par le regard lorsqu'il trace ou 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Prendre des repères spatiaux sur le support utilisé pour tracer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Passer de l'oral à l'écrit</w:t>
            </w:r>
          </w:p>
        </w:tc>
      </w:tr>
      <w:tr>
        <w:trPr>
          <w:trHeight w:val="482" w:hRule="atLeast"/>
        </w:trPr>
        <w:tc>
          <w:tcPr>
            <w:tcW w:type="dxa" w:w="4706"/>
          </w:tcPr>
          <w:p>
            <w:pPr>
              <w:spacing w:before="20" w:after="20"/>
            </w:pPr>
            <w:r/>
            <w:r>
              <w:rPr>
                <w:rFonts w:ascii="Nunito" w:hAnsi="Nunito"/>
                <w:b w:val="0"/>
                <w:sz w:val="17"/>
              </w:rPr>
              <w:t>Percevoir que l'écrit encode l'oral</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un support écrit connu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Produire des écrits</w:t>
            </w:r>
          </w:p>
        </w:tc>
      </w:tr>
      <w:tr>
        <w:trPr>
          <w:trHeight w:val="482" w:hRule="atLeast"/>
        </w:trPr>
        <w:tc>
          <w:tcPr>
            <w:tcW w:type="dxa" w:w="4706"/>
          </w:tcPr>
          <w:p>
            <w:pPr>
              <w:spacing w:before="20" w:after="20"/>
            </w:pPr>
            <w:r/>
            <w:r>
              <w:rPr>
                <w:rFonts w:ascii="Nunito" w:hAnsi="Nunito"/>
                <w:b w:val="0"/>
                <w:sz w:val="17"/>
              </w:rPr>
              <w:t>Mimer la posture et les gestes d'écriture de l'adulte lors de la production de traces qui s'apparentent à de l'écriture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Tracer volontairement des signes abstraits dont on comprend qu'il ne s'agit pas de dessins, mais de lettres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physiques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déplacer</w:t>
            </w:r>
          </w:p>
        </w:tc>
      </w:tr>
      <w:tr>
        <w:trPr>
          <w:trHeight w:val="482" w:hRule="atLeast"/>
        </w:trPr>
        <w:tc>
          <w:tcPr>
            <w:tcW w:type="dxa" w:w="4706"/>
          </w:tcPr>
          <w:p>
            <w:pPr>
              <w:spacing w:before="20" w:after="20"/>
            </w:pPr>
            <w:r/>
            <w:r>
              <w:rPr>
                <w:rFonts w:ascii="Nunito" w:hAnsi="Nunito"/>
                <w:b w:val="0"/>
                <w:sz w:val="17"/>
              </w:rPr>
              <w:t>Manipuler et lancer des objets avec des intentions motrices différentes.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Courir de manière variée et coordonnée.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Sauter sans élan un obstacle.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situer dans un espace proche et connu en utilisant des indices présents dans l'environnement.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Construire des équilibres</w:t>
            </w:r>
          </w:p>
        </w:tc>
      </w:tr>
      <w:tr>
        <w:trPr>
          <w:trHeight w:val="482" w:hRule="atLeast"/>
        </w:trPr>
        <w:tc>
          <w:tcPr>
            <w:tcW w:type="dxa" w:w="4706"/>
          </w:tcPr>
          <w:p>
            <w:pPr>
              <w:spacing w:before="20" w:after="20"/>
            </w:pPr>
            <w:r/>
            <w:r>
              <w:rPr>
                <w:rFonts w:ascii="Nunito" w:hAnsi="Nunito"/>
                <w:b w:val="0"/>
                <w:sz w:val="17"/>
              </w:rPr>
              <w:t>Développer de nouveaux équilibres par des modes de déplacement variés.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Développer de nouveaux équilibres dans des environnements de pratiques inhabituels et sécurisés.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S'exprimer avec son corps</w:t>
            </w:r>
          </w:p>
        </w:tc>
      </w:tr>
      <w:tr>
        <w:trPr>
          <w:trHeight w:val="482" w:hRule="atLeast"/>
        </w:trPr>
        <w:tc>
          <w:tcPr>
            <w:tcW w:type="dxa" w:w="4706"/>
          </w:tcPr>
          <w:p>
            <w:pPr>
              <w:spacing w:before="20" w:after="20"/>
            </w:pPr>
            <w:r/>
            <w:r>
              <w:rPr>
                <w:rFonts w:ascii="Nunito" w:hAnsi="Nunito"/>
                <w:b w:val="0"/>
                <w:sz w:val="17"/>
              </w:rPr>
              <w:t>Découvrir et explorer le mouvement comme vecteur d'expression.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Oser s'exprimer avec son corps seul et avec les autres en répondant à une consigne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Observer pour produire et reproduire un ou plusieurs mouvements avec une intention d'expression.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Coopérer et s'opposer</w:t>
            </w:r>
          </w:p>
        </w:tc>
      </w:tr>
      <w:tr>
        <w:trPr>
          <w:trHeight w:val="482" w:hRule="atLeast"/>
        </w:trPr>
        <w:tc>
          <w:tcPr>
            <w:tcW w:type="dxa" w:w="4706"/>
          </w:tcPr>
          <w:p>
            <w:pPr>
              <w:spacing w:before="20" w:after="20"/>
            </w:pPr>
            <w:r/>
            <w:r>
              <w:rPr>
                <w:rFonts w:ascii="Nunito" w:hAnsi="Nunito"/>
                <w:b w:val="0"/>
                <w:sz w:val="17"/>
              </w:rPr>
              <w:t>Comprendre et s'approprier un rôle dans les formes de jeu les plus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Explorer différents jeux moteurs vécus en interindividuel ou en collectif.</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Éprouver le plaisir de jouer dans le respect des autres et des règles communes.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Agir, s'exprimer, comprendre à travers les activités artistiques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Arts visuels</w:t>
            </w:r>
          </w:p>
        </w:tc>
      </w:tr>
      <w:tr>
        <w:tc>
          <w:tcPr>
            <w:tcW w:type="dxa" w:w="3061"/>
            <w:gridSpan w:val="4"/>
          </w:tcPr>
          <w:p>
            <w:pPr>
              <w:spacing w:before="20" w:after="20"/>
            </w:pPr>
            <w:r>
              <w:rPr>
                <w:i/>
              </w:rPr>
            </w:r>
            <w:r>
              <w:rPr>
                <w:rFonts w:ascii="Nunito" w:hAnsi="Nunito"/>
                <w:b w:val="0"/>
                <w:color w:val="6B7280"/>
                <w:sz w:val="16"/>
              </w:rPr>
              <w:t>Dessiner</w:t>
            </w:r>
          </w:p>
        </w:tc>
      </w:tr>
      <w:tr>
        <w:trPr>
          <w:trHeight w:val="482" w:hRule="atLeast"/>
        </w:trPr>
        <w:tc>
          <w:tcPr>
            <w:tcW w:type="dxa" w:w="4706"/>
          </w:tcPr>
          <w:p>
            <w:pPr>
              <w:spacing w:before="20" w:after="20"/>
            </w:pPr>
            <w:r/>
            <w:r>
              <w:rPr>
                <w:rFonts w:ascii="Nunito" w:hAnsi="Nunito"/>
                <w:b w:val="0"/>
                <w:sz w:val="17"/>
              </w:rPr>
              <w:t>S'exercer au dessin pour développer son habileté motrice.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S'exercer progressivement au dessin avec une intention de représentation.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Graphisme</w:t>
            </w:r>
          </w:p>
        </w:tc>
      </w:tr>
      <w:tr>
        <w:trPr>
          <w:trHeight w:val="482" w:hRule="atLeast"/>
        </w:trPr>
        <w:tc>
          <w:tcPr>
            <w:tcW w:type="dxa" w:w="4706"/>
          </w:tcPr>
          <w:p>
            <w:pPr>
              <w:spacing w:before="20" w:after="20"/>
            </w:pPr>
            <w:r/>
            <w:r>
              <w:rPr>
                <w:rFonts w:ascii="Nunito" w:hAnsi="Nunito"/>
                <w:b w:val="0"/>
                <w:sz w:val="17"/>
              </w:rPr>
              <w:t>Explorer des gestes et commencer à les associer à des types de tracés précis.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des motifs graphiques issus de son environnement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des expressions graphiques dans des œuvres d'art.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Compositions</w:t>
            </w:r>
          </w:p>
        </w:tc>
      </w:tr>
      <w:tr>
        <w:trPr>
          <w:trHeight w:val="482" w:hRule="atLeast"/>
        </w:trPr>
        <w:tc>
          <w:tcPr>
            <w:tcW w:type="dxa" w:w="4706"/>
          </w:tcPr>
          <w:p>
            <w:pPr>
              <w:spacing w:before="20" w:after="20"/>
            </w:pPr>
            <w:r/>
            <w:r>
              <w:rPr>
                <w:rFonts w:ascii="Nunito" w:hAnsi="Nunito"/>
                <w:b w:val="0"/>
                <w:sz w:val="17"/>
              </w:rPr>
              <w:t>Explorer l'usage des outils et observer leurs effets sur le geste.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différents médiums et observer leurs effets sur les couleurs, les formes et les volumes.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Expérimenter la résistance de certains matériaux.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individuellement ou collectivement une production plastique en volume.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Images</w:t>
            </w:r>
          </w:p>
        </w:tc>
      </w:tr>
      <w:tr>
        <w:trPr>
          <w:trHeight w:val="482" w:hRule="atLeast"/>
        </w:trPr>
        <w:tc>
          <w:tcPr>
            <w:tcW w:type="dxa" w:w="4706"/>
          </w:tcPr>
          <w:p>
            <w:pPr>
              <w:spacing w:before="20" w:after="20"/>
            </w:pPr>
            <w:r/>
            <w:r>
              <w:rPr>
                <w:rFonts w:ascii="Nunito" w:hAnsi="Nunito"/>
                <w:b w:val="0"/>
                <w:sz w:val="17"/>
              </w:rPr>
              <w:t>Apprendre à regarder avec attention et à identifier des éléments visuels.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quelques éléments constitutifs d'une illustration.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Les univers sonores</w:t>
            </w:r>
          </w:p>
        </w:tc>
      </w:tr>
      <w:tr>
        <w:tc>
          <w:tcPr>
            <w:tcW w:type="dxa" w:w="3061"/>
            <w:gridSpan w:val="4"/>
          </w:tcPr>
          <w:p>
            <w:pPr>
              <w:spacing w:before="20" w:after="20"/>
            </w:pPr>
            <w:r>
              <w:rPr>
                <w:i/>
              </w:rPr>
            </w:r>
            <w:r>
              <w:rPr>
                <w:rFonts w:ascii="Nunito" w:hAnsi="Nunito"/>
                <w:b w:val="0"/>
                <w:color w:val="6B7280"/>
                <w:sz w:val="16"/>
              </w:rPr>
              <w:t>Voix</w:t>
            </w:r>
          </w:p>
        </w:tc>
      </w:tr>
      <w:tr>
        <w:trPr>
          <w:trHeight w:val="482" w:hRule="atLeast"/>
        </w:trPr>
        <w:tc>
          <w:tcPr>
            <w:tcW w:type="dxa" w:w="4706"/>
          </w:tcPr>
          <w:p>
            <w:pPr>
              <w:spacing w:before="20" w:after="20"/>
            </w:pPr>
            <w:r/>
            <w:r>
              <w:rPr>
                <w:rFonts w:ascii="Nunito" w:hAnsi="Nunito"/>
                <w:b w:val="0"/>
                <w:sz w:val="17"/>
              </w:rPr>
              <w:t>Dépasser les usages courants de la voix.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Chanter en se faisant comprendre des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Dire ou chanter au moins cinq comptines.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Instruments</w:t>
            </w:r>
          </w:p>
        </w:tc>
      </w:tr>
      <w:tr>
        <w:trPr>
          <w:trHeight w:val="482" w:hRule="atLeast"/>
        </w:trPr>
        <w:tc>
          <w:tcPr>
            <w:tcW w:type="dxa" w:w="4706"/>
          </w:tcPr>
          <w:p>
            <w:pPr>
              <w:spacing w:before="20" w:after="20"/>
            </w:pPr>
            <w:r/>
            <w:r>
              <w:rPr>
                <w:rFonts w:ascii="Nunito" w:hAnsi="Nunito"/>
                <w:b w:val="0"/>
                <w:sz w:val="17"/>
              </w:rPr>
              <w:t>Explorer les possibilités sonores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les possibilités expressives de son corps, d'objets et d'instruments.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Observer et commenter ce que font les camarades de classe pour produire des sons avec leur corps, des objets et des instruments.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Écoute</w:t>
            </w:r>
          </w:p>
        </w:tc>
      </w:tr>
      <w:tr>
        <w:trPr>
          <w:trHeight w:val="482" w:hRule="atLeast"/>
        </w:trPr>
        <w:tc>
          <w:tcPr>
            <w:tcW w:type="dxa" w:w="4706"/>
          </w:tcPr>
          <w:p>
            <w:pPr>
              <w:spacing w:before="20" w:after="20"/>
            </w:pPr>
            <w:r/>
            <w:r>
              <w:rPr>
                <w:rFonts w:ascii="Nunito" w:hAnsi="Nunito"/>
                <w:b w:val="0"/>
                <w:sz w:val="17"/>
              </w:rPr>
              <w:t>Traduire la musique entendue en mouvements.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Développer une posture d'écoute.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Le spectacle vivant</w:t>
            </w:r>
          </w:p>
        </w:tc>
      </w:tr>
      <w:tr>
        <w:tc>
          <w:tcPr>
            <w:tcW w:type="dxa" w:w="3061"/>
            <w:gridSpan w:val="4"/>
          </w:tcPr>
          <w:p>
            <w:pPr>
              <w:spacing w:before="20" w:after="20"/>
            </w:pPr>
            <w:r>
              <w:rPr>
                <w:i/>
              </w:rPr>
            </w:r>
            <w:r>
              <w:rPr>
                <w:rFonts w:ascii="Nunito" w:hAnsi="Nunito"/>
                <w:b w:val="0"/>
                <w:color w:val="6B7280"/>
                <w:sz w:val="16"/>
              </w:rPr>
              <w:t>Pratiquer</w:t>
            </w:r>
          </w:p>
        </w:tc>
      </w:tr>
      <w:tr>
        <w:trPr>
          <w:trHeight w:val="482" w:hRule="atLeast"/>
        </w:trPr>
        <w:tc>
          <w:tcPr>
            <w:tcW w:type="dxa" w:w="4706"/>
          </w:tcPr>
          <w:p>
            <w:pPr>
              <w:spacing w:before="20" w:after="20"/>
            </w:pPr>
            <w:r/>
            <w:r>
              <w:rPr>
                <w:rFonts w:ascii="Nunito" w:hAnsi="Nunito"/>
                <w:b w:val="0"/>
                <w:sz w:val="17"/>
              </w:rPr>
              <w:t>Découvrir différentes façons d'exprimer ses émotions par le corps.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des rôles simples.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le jeu dans une mise en scène collective.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Spectateur</w:t>
            </w:r>
          </w:p>
        </w:tc>
      </w:tr>
      <w:tr>
        <w:trPr>
          <w:trHeight w:val="482" w:hRule="atLeast"/>
        </w:trPr>
        <w:tc>
          <w:tcPr>
            <w:tcW w:type="dxa" w:w="4706"/>
          </w:tcPr>
          <w:p>
            <w:pPr>
              <w:spacing w:before="20" w:after="20"/>
            </w:pPr>
            <w:r/>
            <w:r>
              <w:rPr>
                <w:rFonts w:ascii="Nunito" w:hAnsi="Nunito"/>
                <w:b w:val="0"/>
                <w:sz w:val="17"/>
              </w:rPr>
              <w:t>Découvrir des œuvres adaptées.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l'espace scénique.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Acquisition des premiers outils mathématiques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les nombres</w:t>
            </w:r>
          </w:p>
        </w:tc>
      </w:tr>
      <w:tr>
        <w:tc>
          <w:tcPr>
            <w:tcW w:type="dxa" w:w="3061"/>
            <w:gridSpan w:val="4"/>
          </w:tcPr>
          <w:p>
            <w:pPr>
              <w:spacing w:before="20" w:after="20"/>
            </w:pPr>
            <w:r>
              <w:rPr>
                <w:i/>
              </w:rPr>
            </w:r>
            <w:r>
              <w:rPr>
                <w:rFonts w:ascii="Nunito" w:hAnsi="Nunito"/>
                <w:b w:val="0"/>
                <w:color w:val="6B7280"/>
                <w:sz w:val="16"/>
              </w:rPr>
              <w:t>Exprimer une quantité par un nombre</w:t>
            </w:r>
          </w:p>
        </w:tc>
      </w:tr>
      <w:tr>
        <w:trPr>
          <w:trHeight w:val="482" w:hRule="atLeast"/>
        </w:trPr>
        <w:tc>
          <w:tcPr>
            <w:tcW w:type="dxa" w:w="4706"/>
          </w:tcPr>
          <w:p>
            <w:pPr>
              <w:spacing w:before="20" w:after="20"/>
            </w:pPr>
            <w:r/>
            <w:r>
              <w:rPr>
                <w:rFonts w:ascii="Nunito" w:hAnsi="Nunito"/>
                <w:b w:val="0"/>
                <w:sz w:val="17"/>
              </w:rPr>
              <w:t>Comprendre qu'une quantité d'objets ne dépend ni de la nature de ces objets ni de leur organisation spatiale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que si on ajoute un objet à une collection, le nombre qui désigne sa quantité est le suivant dans la suite orale des noms des nombres ; dans la suite orale des noms des nombres, chaque nombre s'obtient en ajoutant un au nombre précédent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Dénombrer une collection d'objets (jusqu'à trois, voire quatre)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Constituer une collection (jusqu'à trois, voire quatre objets) d'un cardinal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quantités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Composer et décomposer des nombres (deux, trois, voire quatre)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Manipuler et verbaliser des compositions et des décompositions de nombres. Cela permet d'installer le fait que, dans une composition, l'ordre ne compte pas ; ces compositions et décompositions permettent de dénombrer plus efficacement que par le comptage un à un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Associer une quantité, le nom d'un nombre et une écriture chiffrée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la comptine numérique de un à six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Utiliser les nombres pour résoudre des problèmes</w:t>
            </w:r>
          </w:p>
        </w:tc>
      </w:tr>
      <w:tr>
        <w:trPr>
          <w:trHeight w:val="482" w:hRule="atLeast"/>
        </w:trPr>
        <w:tc>
          <w:tcPr>
            <w:tcW w:type="dxa" w:w="4706"/>
          </w:tcPr>
          <w:p>
            <w:pPr>
              <w:spacing w:before="20" w:after="20"/>
            </w:pPr>
            <w:r/>
            <w:r>
              <w:rPr>
                <w:rFonts w:ascii="Nunito" w:hAnsi="Nunito"/>
                <w:b w:val="0"/>
                <w:sz w:val="17"/>
              </w:rPr>
              <w:t>Recherche du tout ou d'une partie dans un problème de parties-tout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les solides et les formes planes</w:t>
            </w:r>
          </w:p>
        </w:tc>
      </w:tr>
      <w:tr>
        <w:trPr>
          <w:trHeight w:val="482" w:hRule="atLeast"/>
        </w:trPr>
        <w:tc>
          <w:tcPr>
            <w:tcW w:type="dxa" w:w="4706"/>
          </w:tcPr>
          <w:p>
            <w:pPr>
              <w:spacing w:before="20" w:after="20"/>
            </w:pPr>
            <w:r/>
            <w:r>
              <w:rPr>
                <w:rFonts w:ascii="Nunito" w:hAnsi="Nunito"/>
                <w:b w:val="0"/>
                <w:sz w:val="17"/>
              </w:rPr>
              <w:t>Reconnaitre, trier et classer des objets selon leur forme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Percevoir l'invariance de la forme d'un objet par rapport aux déplacements qu'il peut subir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des assemblages de solides ou de formes planes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Explorer des grandeurs : la longueur, la masse</w:t>
            </w:r>
          </w:p>
        </w:tc>
      </w:tr>
      <w:tr>
        <w:tc>
          <w:tcPr>
            <w:tcW w:type="dxa" w:w="3061"/>
            <w:gridSpan w:val="4"/>
          </w:tcPr>
          <w:p>
            <w:pPr>
              <w:spacing w:before="20" w:after="20"/>
            </w:pPr>
            <w:r>
              <w:rPr>
                <w:i/>
              </w:rPr>
            </w:r>
            <w:r>
              <w:rPr>
                <w:rFonts w:ascii="Nunito" w:hAnsi="Nunito"/>
                <w:b w:val="0"/>
                <w:color w:val="6B7280"/>
                <w:sz w:val="16"/>
              </w:rPr>
              <w:t>La longueur</w:t>
            </w:r>
          </w:p>
        </w:tc>
      </w:tr>
      <w:tr>
        <w:trPr>
          <w:trHeight w:val="482" w:hRule="atLeast"/>
        </w:trPr>
        <w:tc>
          <w:tcPr>
            <w:tcW w:type="dxa" w:w="4706"/>
          </w:tcPr>
          <w:p>
            <w:pPr>
              <w:spacing w:before="20" w:after="20"/>
            </w:pPr>
            <w:r/>
            <w:r>
              <w:rPr>
                <w:rFonts w:ascii="Nunito" w:hAnsi="Nunito"/>
                <w:b w:val="0"/>
                <w:sz w:val="17"/>
              </w:rPr>
              <w:t>Reconnaitre un objet de même longueur qu'un objet donné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Comparer des objets selon leur longueur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familiariser avec les motifs organisés</w:t>
            </w:r>
          </w:p>
        </w:tc>
      </w:tr>
      <w:tr>
        <w:trPr>
          <w:trHeight w:val="482" w:hRule="atLeast"/>
        </w:trPr>
        <w:tc>
          <w:tcPr>
            <w:tcW w:type="dxa" w:w="4706"/>
          </w:tcPr>
          <w:p>
            <w:pPr>
              <w:spacing w:before="20" w:after="20"/>
            </w:pPr>
            <w:r/>
            <w:r>
              <w:rPr>
                <w:rFonts w:ascii="Nunito" w:hAnsi="Nunito"/>
                <w:b w:val="0"/>
                <w:sz w:val="17"/>
              </w:rPr>
              <w:t>Mémoriser un motif répétitif très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Reproduire un motif répétitif à l'identique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Se repérer dans le temps et l'espace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Se repérer dans le temps</w:t>
            </w:r>
          </w:p>
        </w:tc>
      </w:tr>
      <w:tr>
        <w:tc>
          <w:tcPr>
            <w:tcW w:type="dxa" w:w="3061"/>
            <w:gridSpan w:val="4"/>
          </w:tcPr>
          <w:p>
            <w:pPr>
              <w:spacing w:before="20" w:after="20"/>
            </w:pPr>
            <w:r>
              <w:rPr>
                <w:i/>
              </w:rPr>
            </w:r>
            <w:r>
              <w:rPr>
                <w:rFonts w:ascii="Nunito" w:hAnsi="Nunito"/>
                <w:b w:val="0"/>
                <w:color w:val="6B7280"/>
                <w:sz w:val="16"/>
              </w:rPr>
              <w:t>Repères temporels</w:t>
            </w:r>
          </w:p>
        </w:tc>
      </w:tr>
      <w:tr>
        <w:trPr>
          <w:trHeight w:val="482" w:hRule="atLeast"/>
        </w:trPr>
        <w:tc>
          <w:tcPr>
            <w:tcW w:type="dxa" w:w="4706"/>
          </w:tcPr>
          <w:p>
            <w:pPr>
              <w:spacing w:before="20" w:after="20"/>
            </w:pPr>
            <w:r/>
            <w:r>
              <w:rPr>
                <w:rFonts w:ascii="Nunito" w:hAnsi="Nunito"/>
                <w:b w:val="0"/>
                <w:sz w:val="17"/>
              </w:rPr>
              <w:t>Acquérir les premiers repères temporels.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les principaux moments d'une journée.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quelques marqueurs temporels.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Aborder la notion de saison à partir de quelques faits observables.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Chronologie</w:t>
            </w:r>
          </w:p>
        </w:tc>
      </w:tr>
      <w:tr>
        <w:trPr>
          <w:trHeight w:val="482" w:hRule="atLeast"/>
        </w:trPr>
        <w:tc>
          <w:tcPr>
            <w:tcW w:type="dxa" w:w="4706"/>
          </w:tcPr>
          <w:p>
            <w:pPr>
              <w:spacing w:before="20" w:after="20"/>
            </w:pPr>
            <w:r/>
            <w:r>
              <w:rPr>
                <w:rFonts w:ascii="Nunito" w:hAnsi="Nunito"/>
                <w:b w:val="0"/>
                <w:sz w:val="17"/>
              </w:rPr>
              <w:t>Situer des moments de la journée les uns par rapport aux autres et commencer à utiliser le présent, le passé composé, le présent à valeur de futur proche.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Ordonner entre eux des moments rituels vécus.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Comprendre et restituer le déroulement d'évènements quotidiens au sein d'une histoire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Se projeter dans l'action que l'on choisit d'effectuer.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Commencer à planifier deux activités.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Durée</w:t>
            </w:r>
          </w:p>
        </w:tc>
      </w:tr>
      <w:tr>
        <w:trPr>
          <w:trHeight w:val="482" w:hRule="atLeast"/>
        </w:trPr>
        <w:tc>
          <w:tcPr>
            <w:tcW w:type="dxa" w:w="4706"/>
          </w:tcPr>
          <w:p>
            <w:pPr>
              <w:spacing w:before="20" w:after="20"/>
            </w:pPr>
            <w:r/>
            <w:r>
              <w:rPr>
                <w:rFonts w:ascii="Nunito" w:hAnsi="Nunito"/>
                <w:b w:val="0"/>
                <w:sz w:val="17"/>
              </w:rPr>
              <w:t>Attendre avant d'obtenir ce que l'on souhaite.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le début et la fin d'une 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Connaitre quelques mots qui font référence à la durée.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Se repérer dans l'espace</w:t>
            </w:r>
          </w:p>
        </w:tc>
      </w:tr>
      <w:tr>
        <w:tc>
          <w:tcPr>
            <w:tcW w:type="dxa" w:w="3061"/>
            <w:gridSpan w:val="4"/>
          </w:tcPr>
          <w:p>
            <w:pPr>
              <w:spacing w:before="20" w:after="20"/>
            </w:pPr>
            <w:r>
              <w:rPr>
                <w:i/>
              </w:rPr>
            </w:r>
            <w:r>
              <w:rPr>
                <w:rFonts w:ascii="Nunito" w:hAnsi="Nunito"/>
                <w:b w:val="0"/>
                <w:color w:val="6B7280"/>
                <w:sz w:val="16"/>
              </w:rPr>
              <w:t>Expérience</w:t>
            </w:r>
          </w:p>
        </w:tc>
      </w:tr>
      <w:tr>
        <w:trPr>
          <w:trHeight w:val="482" w:hRule="atLeast"/>
        </w:trPr>
        <w:tc>
          <w:tcPr>
            <w:tcW w:type="dxa" w:w="4706"/>
          </w:tcPr>
          <w:p>
            <w:pPr>
              <w:spacing w:before="20" w:after="20"/>
            </w:pPr>
            <w:r/>
            <w:r>
              <w:rPr>
                <w:rFonts w:ascii="Nunito" w:hAnsi="Nunito"/>
                <w:b w:val="0"/>
                <w:sz w:val="17"/>
              </w:rPr>
              <w:t>Réaliser des constructions simples à partir de pièces solides ou de formes planes.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Orienter un objet ou une forme.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Manipuler des objets volumineux.</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Orienter un livre ou un autre support d'écrit.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 trajet, un parcours simple dans l'école.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Expérimenter les effets sensoriels de la proximité et de l'éloignement.</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Acquérir les premiers marqueurs qui permettent de se repérer dans l'espace.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Représentation</w:t>
            </w:r>
          </w:p>
        </w:tc>
      </w:tr>
      <w:tr>
        <w:trPr>
          <w:trHeight w:val="482" w:hRule="atLeast"/>
        </w:trPr>
        <w:tc>
          <w:tcPr>
            <w:tcW w:type="dxa" w:w="4706"/>
          </w:tcPr>
          <w:p>
            <w:pPr>
              <w:spacing w:before="20" w:after="20"/>
            </w:pPr>
            <w:r/>
            <w:r>
              <w:rPr>
                <w:rFonts w:ascii="Nunito" w:hAnsi="Nunito"/>
                <w:b w:val="0"/>
                <w:sz w:val="17"/>
              </w:rPr>
              <w:t>Reproduire un parcours simple.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Restituer un déplacement à l'aide de représentations diverses.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Environnement</w:t>
            </w:r>
          </w:p>
        </w:tc>
      </w:tr>
      <w:tr>
        <w:trPr>
          <w:trHeight w:val="482" w:hRule="atLeast"/>
        </w:trPr>
        <w:tc>
          <w:tcPr>
            <w:tcW w:type="dxa" w:w="4706"/>
          </w:tcPr>
          <w:p>
            <w:pPr>
              <w:spacing w:before="20" w:after="20"/>
            </w:pPr>
            <w:r/>
            <w:r>
              <w:rPr>
                <w:rFonts w:ascii="Nunito" w:hAnsi="Nunito"/>
                <w:b w:val="0"/>
                <w:sz w:val="17"/>
              </w:rPr>
              <w:t>Explorer les différents lieux de l'école et leur associer des éléments caractéristiques observés.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Découvrir le monde du vivant, de la matière et des objets</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Découvrir le monde du vivant</w:t>
            </w:r>
          </w:p>
        </w:tc>
      </w:tr>
      <w:tr>
        <w:tc>
          <w:tcPr>
            <w:tcW w:type="dxa" w:w="3061"/>
            <w:gridSpan w:val="4"/>
          </w:tcPr>
          <w:p>
            <w:pPr>
              <w:spacing w:before="20" w:after="20"/>
            </w:pPr>
            <w:r>
              <w:rPr>
                <w:i/>
              </w:rPr>
            </w:r>
            <w:r>
              <w:rPr>
                <w:rFonts w:ascii="Nunito" w:hAnsi="Nunito"/>
                <w:b w:val="0"/>
                <w:color w:val="6B7280"/>
                <w:sz w:val="16"/>
              </w:rPr>
              <w:t>Vivant</w:t>
            </w:r>
          </w:p>
        </w:tc>
      </w:tr>
      <w:tr>
        <w:trPr>
          <w:trHeight w:val="482" w:hRule="atLeast"/>
        </w:trPr>
        <w:tc>
          <w:tcPr>
            <w:tcW w:type="dxa" w:w="4706"/>
          </w:tcPr>
          <w:p>
            <w:pPr>
              <w:spacing w:before="20" w:after="20"/>
            </w:pPr>
            <w:r/>
            <w:r>
              <w:rPr>
                <w:rFonts w:ascii="Nunito" w:hAnsi="Nunito"/>
                <w:b w:val="0"/>
                <w:sz w:val="17"/>
              </w:rPr>
              <w:t>Repérer et nommer les caractéristiques morphologiques générales des plantes et des animaux observés avec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Reconnaitre et nommer le mâle et la femelle, le jeune et l'adulte pour plusieurs espèces animales.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Prodiguer des soins nécessaires aux élevages et aux cultures.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Corps</w:t>
            </w:r>
          </w:p>
        </w:tc>
      </w:tr>
      <w:tr>
        <w:trPr>
          <w:trHeight w:val="482" w:hRule="atLeast"/>
        </w:trPr>
        <w:tc>
          <w:tcPr>
            <w:tcW w:type="dxa" w:w="4706"/>
          </w:tcPr>
          <w:p>
            <w:pPr>
              <w:spacing w:before="20" w:after="20"/>
            </w:pPr>
            <w:r/>
            <w:r>
              <w:rPr>
                <w:rFonts w:ascii="Nunito" w:hAnsi="Nunito"/>
                <w:b w:val="0"/>
                <w:sz w:val="17"/>
              </w:rPr>
              <w:t>Nommer et représenter quelques parties du corps humain.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les sens utilisés lors d'expériences sensorielles variées.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Respecter quelques règles d'hygiène de vie, à l'invitation de l'adulte.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Découvrir le monde de la matière et des objets</w:t>
            </w:r>
          </w:p>
        </w:tc>
      </w:tr>
      <w:tr>
        <w:tc>
          <w:tcPr>
            <w:tcW w:type="dxa" w:w="3061"/>
            <w:gridSpan w:val="4"/>
          </w:tcPr>
          <w:p>
            <w:pPr>
              <w:spacing w:before="20" w:after="20"/>
            </w:pPr>
            <w:r>
              <w:rPr>
                <w:i/>
              </w:rPr>
            </w:r>
            <w:r>
              <w:rPr>
                <w:rFonts w:ascii="Nunito" w:hAnsi="Nunito"/>
                <w:b w:val="0"/>
                <w:color w:val="6B7280"/>
                <w:sz w:val="16"/>
              </w:rPr>
              <w:t>Objets</w:t>
            </w:r>
          </w:p>
        </w:tc>
      </w:tr>
      <w:tr>
        <w:trPr>
          <w:trHeight w:val="482" w:hRule="atLeast"/>
        </w:trPr>
        <w:tc>
          <w:tcPr>
            <w:tcW w:type="dxa" w:w="4706"/>
          </w:tcPr>
          <w:p>
            <w:pPr>
              <w:spacing w:before="20" w:after="20"/>
            </w:pPr>
            <w:r/>
            <w:r>
              <w:rPr>
                <w:rFonts w:ascii="Nunito" w:hAnsi="Nunito"/>
                <w:b w:val="0"/>
                <w:sz w:val="17"/>
              </w:rPr>
              <w:t>Reconnaitre et comparer des matériaux usuels à partir de perceptions sensorielles.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Repérer des transformations de matériaux sous l'effet d'actions mécaniques avec les mains ou avec des outils.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des objets, connaitre leur nom et leur fonction.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une construction, fabriquer un objet librement ou par un guidage pas à pas.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tcPr>
          <w:p>
            <w:pPr>
              <w:spacing w:before="20" w:after="20"/>
            </w:pPr>
            <w:r>
              <w:rPr>
                <w:i/>
              </w:rPr>
            </w:r>
            <w:r>
              <w:rPr>
                <w:rFonts w:ascii="Nunito" w:hAnsi="Nunito"/>
                <w:b w:val="0"/>
                <w:color w:val="6B7280"/>
                <w:sz w:val="16"/>
              </w:rPr>
              <w:t>Matière</w:t>
            </w:r>
          </w:p>
        </w:tc>
      </w:tr>
      <w:tr>
        <w:trPr>
          <w:trHeight w:val="482" w:hRule="atLeast"/>
        </w:trPr>
        <w:tc>
          <w:tcPr>
            <w:tcW w:type="dxa" w:w="4706"/>
          </w:tcPr>
          <w:p>
            <w:pPr>
              <w:spacing w:before="20" w:after="20"/>
            </w:pPr>
            <w:r/>
            <w:r>
              <w:rPr>
                <w:rFonts w:ascii="Nunito" w:hAnsi="Nunito"/>
                <w:b w:val="0"/>
                <w:sz w:val="17"/>
              </w:rPr>
              <w:t>Explorer quelques caractéristiques des solides et des liquides.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Constater les effets d'un déplacement d'air sur des objets ou sur soi-même.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Réaliser et observer des mélanges.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Découvrir et observer la fusion et la solidification de l'eau.</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pPr>
        <w:spacing w:after="80"/>
      </w:pPr>
      <w:r>
        <w:rPr>
          <w:rFonts w:ascii="Nunito" w:hAnsi="Nunito"/>
          <w:b/>
          <w:color w:val="1F6F4E"/>
          <w:sz w:val="24"/>
        </w:rPr>
        <w:t>Apprendre ensemble et vivre ensemble  (dimension transversale du préambule)</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4706"/>
            <w:shd w:fill="1F6F4E"/>
          </w:tcPr>
          <w:p>
            <w:pPr>
              <w:spacing w:before="20" w:after="20"/>
            </w:pPr>
            <w:r/>
            <w:r>
              <w:rPr>
                <w:rFonts w:ascii="Nunito" w:hAnsi="Nunito"/>
                <w:b/>
                <w:color w:val="FFFFFF"/>
                <w:sz w:val="17"/>
              </w:rPr>
              <w:t>Attendu de fin de section</w:t>
            </w:r>
          </w:p>
        </w:tc>
        <w:tc>
          <w:tcPr>
            <w:tcW w:type="dxa" w:w="1417"/>
            <w:shd w:fill="1F6F4E"/>
          </w:tcPr>
          <w:p>
            <w:pPr>
              <w:spacing w:before="20" w:after="20"/>
              <w:jc w:val="center"/>
            </w:pPr>
            <w:r/>
            <w:r>
              <w:rPr>
                <w:rFonts w:ascii="Nunito" w:hAnsi="Nunito"/>
                <w:b/>
                <w:color w:val="FFFFFF"/>
                <w:sz w:val="17"/>
              </w:rPr>
              <w:t>Période / date</w:t>
            </w:r>
          </w:p>
        </w:tc>
        <w:tc>
          <w:tcPr>
            <w:tcW w:type="dxa" w:w="907"/>
            <w:shd w:fill="1F6F4E"/>
          </w:tcPr>
          <w:p>
            <w:pPr>
              <w:spacing w:before="20" w:after="20"/>
              <w:jc w:val="center"/>
            </w:pPr>
            <w:r/>
            <w:r>
              <w:rPr>
                <w:rFonts w:ascii="Nunito" w:hAnsi="Nunito"/>
                <w:b/>
                <w:color w:val="FFFFFF"/>
                <w:sz w:val="17"/>
              </w:rPr>
              <w:t>Observé</w:t>
            </w:r>
          </w:p>
        </w:tc>
        <w:tc>
          <w:tcPr>
            <w:tcW w:type="dxa" w:w="3061"/>
            <w:shd w:fill="1F6F4E"/>
          </w:tcPr>
          <w:p>
            <w:pPr>
              <w:spacing w:before="20" w:after="20"/>
            </w:pPr>
            <w:r/>
            <w:r>
              <w:rPr>
                <w:rFonts w:ascii="Nunito" w:hAnsi="Nunito"/>
                <w:b/>
                <w:color w:val="FFFFFF"/>
                <w:sz w:val="17"/>
              </w:rPr>
              <w:t>Commentaire</w:t>
            </w:r>
          </w:p>
        </w:tc>
      </w:tr>
      <w:tr>
        <w:tc>
          <w:tcPr>
            <w:tcW w:type="dxa" w:w="3061"/>
            <w:gridSpan w:val="4"/>
            <w:shd w:fill="F3F8F5"/>
          </w:tcPr>
          <w:p>
            <w:pPr>
              <w:spacing w:before="20" w:after="20"/>
            </w:pPr>
            <w:r/>
            <w:r>
              <w:rPr>
                <w:rFonts w:ascii="Nunito" w:hAnsi="Nunito"/>
                <w:b/>
                <w:color w:val="1A2420"/>
                <w:sz w:val="18"/>
              </w:rPr>
              <w:t>Comprendre l'école et respecter les règles de vie</w:t>
            </w:r>
          </w:p>
        </w:tc>
      </w:tr>
      <w:tr>
        <w:trPr>
          <w:trHeight w:val="482" w:hRule="atLeast"/>
        </w:trPr>
        <w:tc>
          <w:tcPr>
            <w:tcW w:type="dxa" w:w="4706"/>
          </w:tcPr>
          <w:p>
            <w:pPr>
              <w:spacing w:before="20" w:after="20"/>
            </w:pPr>
            <w:r/>
            <w:r>
              <w:rPr>
                <w:rFonts w:ascii="Nunito" w:hAnsi="Nunito"/>
                <w:b w:val="0"/>
                <w:sz w:val="17"/>
              </w:rPr>
              <w:t>Quitter ses parents et venir à l'école avec plaisir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Répondre à l'appel de son prénom</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Identifier les adultes de la classe et leur rôle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Suivre les règles simples de la classe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Utiliser les premières formules de politesse (bonjour, au revoir, merci)</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Ranger le matériel après l'activité</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Vivre et coopérer avec les autres</w:t>
            </w:r>
          </w:p>
        </w:tc>
      </w:tr>
      <w:tr>
        <w:trPr>
          <w:trHeight w:val="482" w:hRule="atLeast"/>
        </w:trPr>
        <w:tc>
          <w:tcPr>
            <w:tcW w:type="dxa" w:w="4706"/>
          </w:tcPr>
          <w:p>
            <w:pPr>
              <w:spacing w:before="20" w:after="20"/>
            </w:pPr>
            <w:r/>
            <w:r>
              <w:rPr>
                <w:rFonts w:ascii="Nunito" w:hAnsi="Nunito"/>
                <w:b w:val="0"/>
                <w:sz w:val="17"/>
              </w:rPr>
              <w:t>Utiliser le prénom de quelques camarades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Jouer à côté puis avec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Commencer à contrôler ses émotions et différer un désir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Écouter les autres</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c>
          <w:tcPr>
            <w:tcW w:type="dxa" w:w="3061"/>
            <w:gridSpan w:val="4"/>
            <w:shd w:fill="F3F8F5"/>
          </w:tcPr>
          <w:p>
            <w:pPr>
              <w:spacing w:before="20" w:after="20"/>
            </w:pPr>
            <w:r/>
            <w:r>
              <w:rPr>
                <w:rFonts w:ascii="Nunito" w:hAnsi="Nunito"/>
                <w:b/>
                <w:color w:val="1A2420"/>
                <w:sz w:val="18"/>
              </w:rPr>
              <w:t>Devenir élève : autonomie et engagement</w:t>
            </w:r>
          </w:p>
        </w:tc>
      </w:tr>
      <w:tr>
        <w:trPr>
          <w:trHeight w:val="482" w:hRule="atLeast"/>
        </w:trPr>
        <w:tc>
          <w:tcPr>
            <w:tcW w:type="dxa" w:w="4706"/>
          </w:tcPr>
          <w:p>
            <w:pPr>
              <w:spacing w:before="20" w:after="20"/>
            </w:pPr>
            <w:r/>
            <w:r>
              <w:rPr>
                <w:rFonts w:ascii="Nunito" w:hAnsi="Nunito"/>
                <w:b w:val="0"/>
                <w:sz w:val="17"/>
              </w:rPr>
              <w:t>Oser s'engager dans une activité sans appréhension</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Exécuter seul une tâche simple (coller, découper, ranger)</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r>
        <w:trPr>
          <w:trHeight w:val="482" w:hRule="atLeast"/>
        </w:trPr>
        <w:tc>
          <w:tcPr>
            <w:tcW w:type="dxa" w:w="4706"/>
          </w:tcPr>
          <w:p>
            <w:pPr>
              <w:spacing w:before="20" w:after="20"/>
            </w:pPr>
            <w:r/>
            <w:r>
              <w:rPr>
                <w:rFonts w:ascii="Nunito" w:hAnsi="Nunito"/>
                <w:b w:val="0"/>
                <w:sz w:val="17"/>
              </w:rPr>
              <w:t>Savoir ce qu'il doit faire</w:t>
            </w:r>
          </w:p>
        </w:tc>
        <w:tc>
          <w:tcPr>
            <w:tcW w:type="dxa" w:w="1417"/>
          </w:tcPr>
          <w:p/>
        </w:tc>
        <w:tc>
          <w:tcPr>
            <w:tcW w:type="dxa" w:w="907"/>
          </w:tcPr>
          <w:p>
            <w:pPr>
              <w:jc w:val="center"/>
            </w:pPr>
            <w:r/>
            <w:r>
              <w:rPr>
                <w:rFonts w:ascii="Segoe UI Symbol" w:hAnsi="Segoe UI Symbol"/>
                <w:color w:val="8A9A90"/>
                <w:sz w:val="26"/>
              </w:rPr>
              <w:t>☐</w:t>
            </w:r>
          </w:p>
        </w:tc>
        <w:tc>
          <w:tcPr>
            <w:tcW w:type="dxa" w:w="3061"/>
          </w:tcPr>
          <w:p/>
        </w:tc>
      </w:tr>
    </w:tbl>
    <w:p/>
    <w:p>
      <w:r>
        <w:br w:type="page"/>
      </w:r>
    </w:p>
    <w:p>
      <w:pPr>
        <w:spacing w:after="40"/>
      </w:pPr>
      <w:r>
        <w:rPr>
          <w:rFonts w:ascii="Nunito" w:hAnsi="Nunito"/>
          <w:b/>
          <w:color w:val="F97316"/>
          <w:sz w:val="18"/>
        </w:rPr>
        <w:t>BILAN DE FIN D'ANNÉE</w:t>
      </w:r>
    </w:p>
    <w:p>
      <w:pPr>
        <w:spacing w:after="120"/>
      </w:pPr>
      <w:r>
        <w:rPr>
          <w:rFonts w:ascii="Nunito" w:hAnsi="Nunito"/>
          <w:b/>
          <w:color w:val="1F6F4E"/>
          <w:sz w:val="40"/>
        </w:rPr>
        <w:t>Bilan de fin de petite section</w:t>
      </w:r>
    </w:p>
    <w:p>
      <w:pPr>
        <w:spacing w:after="200"/>
      </w:pPr>
      <w:r>
        <w:rPr>
          <w:rFonts w:ascii="Nunito" w:hAnsi="Nunito"/>
          <w:b w:val="0"/>
          <w:color w:val="6B7280"/>
          <w:sz w:val="19"/>
        </w:rPr>
        <w:t>À rédiger à partir des observations du carnet, en quelques phrases par domaine, pour l'enfant, ses parents et l'enseignant·e de l'année suivante.</w:t>
      </w:r>
    </w:p>
    <w:tbl>
      <w:tblPr>
        <w:tblStyle w:val="TableGrid"/>
        <w:tblW w:type="auto" w:w="0"/>
        <w:tblLook w:firstColumn="1" w:firstRow="1" w:lastColumn="0" w:lastRow="0" w:noHBand="0" w:noVBand="1" w:val="04A0"/>
      </w:tblPr>
      <w:tblGrid>
        <w:gridCol w:w="5213"/>
        <w:gridCol w:w="5213"/>
      </w:tblGrid>
      <w:tr>
        <w:tc>
          <w:tcPr>
            <w:tcW w:type="dxa" w:w="3175"/>
            <w:shd w:fill="1F6F4E"/>
          </w:tcPr>
          <w:p>
            <w:pPr>
              <w:spacing w:before="20" w:after="20"/>
            </w:pPr>
            <w:r/>
            <w:r>
              <w:rPr>
                <w:rFonts w:ascii="Nunito" w:hAnsi="Nunito"/>
                <w:b/>
                <w:color w:val="FFFFFF"/>
                <w:sz w:val="17"/>
              </w:rPr>
              <w:t>Domaine</w:t>
            </w:r>
          </w:p>
        </w:tc>
        <w:tc>
          <w:tcPr>
            <w:tcW w:type="dxa" w:w="6917"/>
            <w:shd w:fill="1F6F4E"/>
          </w:tcPr>
          <w:p>
            <w:pPr>
              <w:spacing w:before="20" w:after="20"/>
            </w:pPr>
            <w:r/>
            <w:r>
              <w:rPr>
                <w:rFonts w:ascii="Nunito" w:hAnsi="Nunito"/>
                <w:b/>
                <w:color w:val="FFFFFF"/>
                <w:sz w:val="17"/>
              </w:rPr>
              <w:t>Ce que l'enfant sait faire, ce qui reste à consolider</w:t>
            </w:r>
          </w:p>
        </w:tc>
      </w:tr>
      <w:tr>
        <w:trPr>
          <w:trHeight w:val="1134" w:hRule="atLeast"/>
        </w:trPr>
        <w:tc>
          <w:tcPr>
            <w:tcW w:type="dxa" w:w="3175"/>
            <w:shd w:fill="F3F8F5"/>
          </w:tcPr>
          <w:p>
            <w:pPr>
              <w:spacing w:before="20" w:after="20"/>
            </w:pPr>
            <w:r/>
            <w:r>
              <w:rPr>
                <w:rFonts w:ascii="Nunito" w:hAnsi="Nunito"/>
                <w:b/>
                <w:color w:val="1A2420"/>
                <w:sz w:val="18"/>
              </w:rPr>
              <w:t>Le développement et la structuration du langage oral et écrit</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physiques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Agir, s'exprimer, comprendre à travers les activités artistiques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Acquisition des premiers outils mathématiques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Se repérer dans le temps et l'espace</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Découvrir le monde du vivant, de la matière et des objets</w:t>
            </w:r>
          </w:p>
        </w:tc>
        <w:tc>
          <w:tcPr>
            <w:tcW w:type="dxa" w:w="6917"/>
          </w:tcPr>
          <w:p/>
        </w:tc>
      </w:tr>
      <w:tr>
        <w:trPr>
          <w:trHeight w:val="1134" w:hRule="atLeast"/>
        </w:trPr>
        <w:tc>
          <w:tcPr>
            <w:tcW w:type="dxa" w:w="3175"/>
            <w:shd w:fill="F3F8F5"/>
          </w:tcPr>
          <w:p>
            <w:pPr>
              <w:spacing w:before="20" w:after="20"/>
            </w:pPr>
            <w:r/>
            <w:r>
              <w:rPr>
                <w:rFonts w:ascii="Nunito" w:hAnsi="Nunito"/>
                <w:b/>
                <w:color w:val="1A2420"/>
                <w:sz w:val="18"/>
              </w:rPr>
              <w:t>Apprendre ensemble et vivre ensemble</w:t>
            </w:r>
          </w:p>
        </w:tc>
        <w:tc>
          <w:tcPr>
            <w:tcW w:type="dxa" w:w="6917"/>
          </w:tcPr>
          <w:p/>
        </w:tc>
      </w:tr>
    </w:tbl>
    <w:p/>
    <w:p>
      <w:pPr>
        <w:spacing w:after="80"/>
      </w:pPr>
      <w:r>
        <w:rPr>
          <w:rFonts w:ascii="Nunito" w:hAnsi="Nunito"/>
          <w:b/>
          <w:color w:val="1F6F4E"/>
          <w:sz w:val="22"/>
        </w:rPr>
        <w:t>Points d'appui et besoins pour la suite</w:t>
      </w:r>
    </w:p>
    <w:tbl>
      <w:tblPr>
        <w:tblStyle w:val="TableGrid"/>
        <w:tblW w:type="auto" w:w="0"/>
        <w:tblLook w:firstColumn="1" w:firstRow="1" w:lastColumn="0" w:lastRow="0" w:noHBand="0" w:noVBand="1" w:val="04A0"/>
      </w:tblPr>
      <w:tblGrid>
        <w:gridCol w:w="10426"/>
      </w:tblGrid>
      <w:tr>
        <w:trPr>
          <w:trHeight w:val="1701" w:hRule="atLeast"/>
        </w:trPr>
        <w:tc>
          <w:tcPr>
            <w:tcW w:type="dxa" w:w="10426"/>
          </w:tcPr>
          <w:p/>
        </w:tc>
      </w:tr>
    </w:tbl>
    <w:p/>
    <w:tbl>
      <w:tblPr>
        <w:tblStyle w:val="TableGrid"/>
        <w:tblW w:type="auto" w:w="0"/>
        <w:tblLook w:firstColumn="1" w:firstRow="1" w:lastColumn="0" w:lastRow="0" w:noHBand="0" w:noVBand="1" w:val="04A0"/>
      </w:tblPr>
      <w:tblGrid>
        <w:gridCol w:w="3475"/>
        <w:gridCol w:w="3475"/>
        <w:gridCol w:w="3475"/>
      </w:tblGrid>
      <w:tr>
        <w:tc>
          <w:tcPr>
            <w:tcW w:type="dxa" w:w="3475"/>
            <w:shd w:fill="F3F8F5"/>
          </w:tcPr>
          <w:p>
            <w:pPr>
              <w:spacing w:before="20" w:after="20"/>
            </w:pPr>
            <w:r/>
            <w:r>
              <w:rPr>
                <w:rFonts w:ascii="Nunito" w:hAnsi="Nunito"/>
                <w:b/>
                <w:color w:val="1A2420"/>
                <w:sz w:val="18"/>
              </w:rPr>
              <w:t>Date</w:t>
            </w:r>
          </w:p>
        </w:tc>
        <w:tc>
          <w:tcPr>
            <w:tcW w:type="dxa" w:w="3475"/>
            <w:shd w:fill="F3F8F5"/>
          </w:tcPr>
          <w:p>
            <w:pPr>
              <w:spacing w:before="20" w:after="20"/>
            </w:pPr>
            <w:r/>
            <w:r>
              <w:rPr>
                <w:rFonts w:ascii="Nunito" w:hAnsi="Nunito"/>
                <w:b/>
                <w:color w:val="1A2420"/>
                <w:sz w:val="18"/>
              </w:rPr>
              <w:t>L'enseignant·e</w:t>
            </w:r>
          </w:p>
        </w:tc>
        <w:tc>
          <w:tcPr>
            <w:tcW w:type="dxa" w:w="3475"/>
            <w:shd w:fill="F3F8F5"/>
          </w:tcPr>
          <w:p>
            <w:pPr>
              <w:spacing w:before="20" w:after="20"/>
            </w:pPr>
            <w:r/>
            <w:r>
              <w:rPr>
                <w:rFonts w:ascii="Nunito" w:hAnsi="Nunito"/>
                <w:b/>
                <w:color w:val="1A2420"/>
                <w:sz w:val="18"/>
              </w:rPr>
              <w:t>Les parents</w:t>
            </w:r>
          </w:p>
        </w:tc>
      </w:tr>
      <w:tr>
        <w:trPr>
          <w:trHeight w:val="1020" w:hRule="atLeast"/>
        </w:trPr>
        <w:tc>
          <w:tcPr>
            <w:tcW w:type="dxa" w:w="3475"/>
          </w:tcPr>
          <w:p/>
        </w:tc>
        <w:tc>
          <w:tcPr>
            <w:tcW w:type="dxa" w:w="3475"/>
          </w:tcPr>
          <w:p/>
        </w:tc>
        <w:tc>
          <w:tcPr>
            <w:tcW w:type="dxa" w:w="3475"/>
          </w:tcPr>
          <w:p/>
        </w:tc>
      </w:tr>
    </w:tbl>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 carnet se remplit à la main, attendu par attendu, pour chaque élève. Tifox fait le même travail depuis votre téléphone : une photo prise pendant l'atelier, l'attendu coché, et le cahier de réussite de chaque enfant se compose tout seul, dans les six domaines du programme 2026.</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Carnet de suivi des apprentissages 2026 - Petite section</dc:title>
  <dc:subject>Carnet de suivi des apprentissages Petite section, programme 2026, 129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