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Nunito" w:hAnsi="Nunito"/>
          <w:b/>
          <w:color w:val="F97316"/>
          <w:sz w:val="18"/>
        </w:rPr>
        <w:t>PROGRAMMATION ANNUELLE 2026</w:t>
      </w:r>
    </w:p>
    <w:p>
      <w:pPr>
        <w:spacing w:after="80"/>
      </w:pPr>
      <w:r>
        <w:rPr>
          <w:rFonts w:ascii="Nunito" w:hAnsi="Nunito"/>
          <w:b/>
          <w:color w:val="1F6F4E"/>
          <w:sz w:val="44"/>
        </w:rPr>
        <w:t>Grande section</w:t>
      </w:r>
    </w:p>
    <w:p>
      <w:pPr>
        <w:spacing w:after="160"/>
      </w:pPr>
      <w:r>
        <w:rPr>
          <w:rFonts w:ascii="Nunito" w:hAnsi="Nunito"/>
          <w:b w:val="0"/>
          <w:color w:val="1A2420"/>
          <w:sz w:val="20"/>
        </w:rPr>
        <w:t>175 attendus officiels, dans l'ordre du programme, à répartir sur vos cinq périodes.</w:t>
      </w:r>
    </w:p>
    <w:p>
      <w:pPr>
        <w:spacing w:after="280"/>
      </w:pPr>
      <w:r>
        <w:rPr>
          <w:rFonts w:ascii="Nunito" w:hAnsi="Nunito"/>
          <w:b w:val="0"/>
          <w:color w:val="6B7280"/>
          <w:sz w:val="18"/>
        </w:rPr>
        <w:t>Arrêté du 16 avril 2026, publié au BO n°19 du 7 mai 2026, applicable à la rentrée 2026.</w:t>
      </w:r>
    </w:p>
    <w:p>
      <w:pPr>
        <w:spacing w:after="80"/>
      </w:pPr>
      <w:r>
        <w:rPr>
          <w:rFonts w:ascii="Nunito" w:hAnsi="Nunito"/>
          <w:b/>
          <w:color w:val="1F6F4E"/>
          <w:sz w:val="24"/>
        </w:rPr>
        <w:t>Le développement et la structuration du langage oral et écrit</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Acquérir le langage oral</w:t>
            </w:r>
          </w:p>
        </w:tc>
      </w:tr>
      <w:tr>
        <w:tc>
          <w:tcPr>
            <w:tcW w:type="dxa" w:w="6406"/>
          </w:tcPr>
          <w:p>
            <w:pPr>
              <w:spacing w:before="20" w:after="20"/>
            </w:pPr>
            <w:r/>
            <w:r>
              <w:rPr>
                <w:rFonts w:ascii="Nunito" w:hAnsi="Nunito"/>
                <w:b w:val="0"/>
                <w:sz w:val="17"/>
              </w:rPr>
              <w:t>Enrichir son vocabulaire : Comprendre, mémoriser, réemployer les mots des corpus enseignés (3 par période)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Enrichir son vocabulaire : Organiser les mots en catégorie et en réseau</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Développer sa syntaxe : Diversifier les pronoms employés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Développer sa syntaxe : Construire à l'oral un système de temps de plus en plus efficace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Développer sa syntaxe : Formuler des énoncés de plus en plus complexes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Articuler distinctement : Prononcer correctement les couples de consonnes proches suivants : ch/s, ch/j, ch/z</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Articuler distinctement : Prononcer correctement les doubles consonnes : br/cr/bl/pl/sl</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Produire des discours variés : Décrire une action ou une activité qui a été menée par un autre élève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Produire des discours variés : Se faire comprendre, par le truchement du langage, d'un adulte qui ne connait rien à la situation évoquée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Produire des discours variés : Participer à une conversation avec un adulte ou des pairs et reformuler son propos s'il n'a pas été compris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Produire des discours variés : Émettre une hypothèse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Passer de l’oral à l’écrit : se préparer à apprendre à lire</w:t>
            </w:r>
          </w:p>
        </w:tc>
      </w:tr>
      <w:tr>
        <w:tc>
          <w:tcPr>
            <w:tcW w:type="dxa" w:w="6406"/>
          </w:tcPr>
          <w:p>
            <w:pPr>
              <w:spacing w:before="20" w:after="20"/>
            </w:pPr>
            <w:r/>
            <w:r>
              <w:rPr>
                <w:rFonts w:ascii="Nunito" w:hAnsi="Nunito"/>
                <w:b w:val="0"/>
                <w:sz w:val="17"/>
              </w:rPr>
              <w:t>Écouter, identifier, discriminer et reproduire des sons : Utiliser les possibilités sonores de la voix</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Écouter, identifier, discriminer et reproduire des sons : Augmenter sa mémoire auditive et sa capacité de concentration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Manipuler des syllabes orales puis des phonèmes : Supprimer, ajouter, remplacer, inverser, substituer, fusionner les syllabes d'un mot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Manipuler des syllabes orales puis des phonèmes : Repérer et produire des rimes et des assonances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Manipuler des syllabes orales puis des phonèmes : Entendre, discriminer, manipuler des phonèmes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le nom des lettres : Connaître le nom des lettres de l'alphabet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le nom des lettres : Connaître les différentes graphies d'une même lettre (majuscule lettre capitale ; minuscules scriptes ; cursives)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le nom des lettres : Distinguer des lettres visuellement proches (b/d, c/e/o, p/q) grâce à leur écriture cursive et les nommer correctement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le son des lettres : Connaître le nom des lettres de l'alphabet et leur valeur sonore hormis les occlusives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Connaitre le son des lettres : Discriminer des mots auditivement proches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Découvrir les supports de l'écrit : Différencier les types d'écrits et associer un écrit à un projet d'écriture ou à une communication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Découvrir les supports de l'écrit : Repérer et dégager la structure et l'organisation (mise en page, typographie) de formes d'écrits fréquemment utilisés en classe (structure de la lettre, de la recette, du conte, d'un écrit documentaire, d'une notice de fabrication)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des textes lus par le professeur : Construire les caractéristiques des personnages archétypaux (loup, princesse, ogre, sorcière, renard, fée, etc.)</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des textes lus par le professeur : Comprendre des histoires où l'enchaînement des actions est lié au destin de personnages centraux ou secondaires qui évoluent et interagissent, dans des lieux diversifiés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des textes lus par le professeur : Comprendre les émotions, les intentions et les sentiments qui animent les personnages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des textes lus par le professeur : Établir un lien entre la lecture effectuée et sa propre expérience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Passer de l’oral à l’écrit : se préparer à apprendre à écrire</w:t>
            </w:r>
          </w:p>
        </w:tc>
      </w:tr>
      <w:tr>
        <w:tc>
          <w:tcPr>
            <w:tcW w:type="dxa" w:w="6406"/>
          </w:tcPr>
          <w:p>
            <w:pPr>
              <w:spacing w:before="20" w:after="20"/>
            </w:pPr>
            <w:r/>
            <w:r>
              <w:rPr>
                <w:rFonts w:ascii="Nunito" w:hAnsi="Nunito"/>
                <w:b w:val="0"/>
                <w:sz w:val="17"/>
              </w:rPr>
              <w:t>Apprendre le geste d'écriture : Tenir correctement son stylo par la pince des doigts et utiliser de façon coordonnée les quatre articulations (épaule, coude, poignet, doigts)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Apprendre le geste d'écriture : Travailler la ligature entre deux lettres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Apprendre le geste d'écriture : Tracer des lettres en écriture cursive, les enchaîner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Passer de l'oral à l'écrit : Segmenter l'oral en mots, les mots en syllabes, quelques syllabes en phonèmes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Passer de l'oral à l'écrit : Comprendre que l'écrit encode l'oral et que les sons de la langue se codent par des lettres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Passer de l'oral à l'écrit : Suivre la trace écrite des yeux lors d'une relecture par l'adulte d'un message produit lors d'une dictée à l'adulte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Produire des écrits : Mémoriser la graphie d'un mot transparent, en s'appuyant sur la connaissance des lettres et la conscience phonologique et le retranscrire sur un support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Produire des écrits : Réinvestir ses premières connaissances relatives au principe alphabétique pour produire un écrit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Produire des écrits : Se repérer dans l'alphabet pour retrouver l'écriture d'une lettre nécessaire pour produire un écrit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Produire des écrits : Mémoriser l'écriture de mots transparents ou de syllabes connues pour les réutiliser dans une production d'écrit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Produire des écrits : Comprendre qu'il existe une norme pour écrire : ponctuation, majuscules, mise en page, etc.</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Produire des écrits : Persévérer pour mener la production d'écrit à son terme : préparation, énonciation et révision</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Agir, s'exprimer, comprendre à travers les activités physiques</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Se déplacer</w:t>
            </w:r>
          </w:p>
        </w:tc>
      </w:tr>
      <w:tr>
        <w:tc>
          <w:tcPr>
            <w:tcW w:type="dxa" w:w="6406"/>
          </w:tcPr>
          <w:p>
            <w:pPr>
              <w:spacing w:before="20" w:after="20"/>
            </w:pPr>
            <w:r/>
            <w:r>
              <w:rPr>
                <w:rFonts w:ascii="Nunito" w:hAnsi="Nunito"/>
                <w:b w:val="0"/>
                <w:sz w:val="17"/>
              </w:rPr>
              <w:t>Lancer loin et avec précision différents objets.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Courir de plus en plus longtemps sans s'arrêter.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Courir vite et franchir un obstacle sur une distance courte.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Coordonner ses actions et ses déplacements pour lancer et pour sauter haut ou loin.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Se situer dans un milieu moins connu grâce à des indices prélevés dans l'environnement.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Construire des équilibres</w:t>
            </w:r>
          </w:p>
        </w:tc>
      </w:tr>
      <w:tr>
        <w:tc>
          <w:tcPr>
            <w:tcW w:type="dxa" w:w="6406"/>
          </w:tcPr>
          <w:p>
            <w:pPr>
              <w:spacing w:before="20" w:after="20"/>
            </w:pPr>
            <w:r/>
            <w:r>
              <w:rPr>
                <w:rFonts w:ascii="Nunito" w:hAnsi="Nunito"/>
                <w:b w:val="0"/>
                <w:sz w:val="17"/>
              </w:rPr>
              <w:t>Construire de nouveaux équilibres par des déplacements impliquant une combinaison d'actions.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Explorer le milieu aquatique et développer une nouvelle locomotion dans l'eau.</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Respecter les règles de sécurité pour soi et pour les autres.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S'exprimer avec son corps</w:t>
            </w:r>
          </w:p>
        </w:tc>
      </w:tr>
      <w:tr>
        <w:tc>
          <w:tcPr>
            <w:tcW w:type="dxa" w:w="6406"/>
          </w:tcPr>
          <w:p>
            <w:pPr>
              <w:spacing w:before="20" w:after="20"/>
            </w:pPr>
            <w:r/>
            <w:r>
              <w:rPr>
                <w:rFonts w:ascii="Nunito" w:hAnsi="Nunito"/>
                <w:b w:val="0"/>
                <w:sz w:val="17"/>
              </w:rPr>
              <w:t>Enrichir le geste dansé par de nouvelles coordinations motrices, issues également des arts du cirque.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Explorer l'ensemble de l'espace scénique en variant les inducteurs (objets, mondes sonores, modes de déplacements, etc.) pour créer des effets.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Danser, seul ou à plusieurs, en créant et en reproduisant un ou plusieurs gestes et déplacements.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Adopter une posture de spectateur et de spectatrice actifs.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Coopérer et s'opposer</w:t>
            </w:r>
          </w:p>
        </w:tc>
      </w:tr>
      <w:tr>
        <w:tc>
          <w:tcPr>
            <w:tcW w:type="dxa" w:w="6406"/>
          </w:tcPr>
          <w:p>
            <w:pPr>
              <w:spacing w:before="20" w:after="20"/>
            </w:pPr>
            <w:r/>
            <w:r>
              <w:rPr>
                <w:rFonts w:ascii="Nunito" w:hAnsi="Nunito"/>
                <w:b w:val="0"/>
                <w:sz w:val="17"/>
              </w:rPr>
              <w:t>Élaborer seul ou à plusieurs des stratégies pour gagner un jeu.</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Jouer en exerçant des rôles différents : attaquant, attaquante, défenseur, défenseuse et arbitre.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Éprouver le plaisir de coopérer et de s'opposer dans le respect des autres et des règles communes.</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Agir, s'exprimer, comprendre à travers les activités artistiques</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Arts visuels</w:t>
            </w:r>
          </w:p>
        </w:tc>
      </w:tr>
      <w:tr>
        <w:tc>
          <w:tcPr>
            <w:tcW w:type="dxa" w:w="6406"/>
          </w:tcPr>
          <w:p>
            <w:pPr>
              <w:spacing w:before="20" w:after="20"/>
            </w:pPr>
            <w:r/>
            <w:r>
              <w:rPr>
                <w:rFonts w:ascii="Nunito" w:hAnsi="Nunito"/>
                <w:b w:val="0"/>
                <w:sz w:val="17"/>
              </w:rPr>
              <w:t>Dessiner — Dessiner pour représenter sur la base d'un modèle.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Dessiner — Dessiner pour représenter un personnage ou un évènement fictif.</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Dessiner — Participer à la réalisation d'une œuvre collective à partir d'une consigne ou d'un problème à résoudre.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Dessiner — Utiliser le vocabulaire spécifique au dessin.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Graphisme — Transformer ou détourner des motifs du répertoire de la classe pour observer les effets produits.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Graphisme — Créer de nouveaux motifs.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Graphisme — Réaliser une composition à partir de plusieurs contraintes.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Compositions — Réaliser des compositions plastiques, seul ou en petit groupe, en choisissant et en combinant des matériaux et en réinvestissant des techniques et des procédés.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Compositions — Se familiariser avec différentes formes d'expression artistique.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Images — Différencier des types d'images (portrait, paysage, nature morte, etc.).</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Images — Identifier et nommer des éléments esthétiques d'une illustration.</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Les univers sonores</w:t>
            </w:r>
          </w:p>
        </w:tc>
      </w:tr>
      <w:tr>
        <w:tc>
          <w:tcPr>
            <w:tcW w:type="dxa" w:w="6406"/>
          </w:tcPr>
          <w:p>
            <w:pPr>
              <w:spacing w:before="20" w:after="20"/>
            </w:pPr>
            <w:r/>
            <w:r>
              <w:rPr>
                <w:rFonts w:ascii="Nunito" w:hAnsi="Nunito"/>
                <w:b w:val="0"/>
                <w:sz w:val="17"/>
              </w:rPr>
              <w:t>Voix — Développer et affirmer son inventivité avec sa voix.</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Voix — Trouver sa place dans un collectif chantant.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Voix — Dire ou chanter au moins dix comptines ou chants, en réinvestissant ceux appris les années antérieures.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Instruments — Explorer le lien entre le son et le geste.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Instruments — Créer un paysage sonore en répondant à une consigne simple avec son corps, des objets ou des instruments.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Instruments — Créer collectivement une production musicale.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Écoute — Traduire la musique entendue en dessin.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Écoute — Écouter une œuvre musicale patrimoniale pour repérer des éléments musicaux significatifs.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Écoute — Connaitre au moins trois œuvres musicales patrimoniales.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spectacle vivant</w:t>
            </w:r>
          </w:p>
        </w:tc>
      </w:tr>
      <w:tr>
        <w:tc>
          <w:tcPr>
            <w:tcW w:type="dxa" w:w="6406"/>
          </w:tcPr>
          <w:p>
            <w:pPr>
              <w:spacing w:before="20" w:after="20"/>
            </w:pPr>
            <w:r/>
            <w:r>
              <w:rPr>
                <w:rFonts w:ascii="Nunito" w:hAnsi="Nunito"/>
                <w:b w:val="0"/>
                <w:sz w:val="17"/>
              </w:rPr>
              <w:t>Pratiquer — Explorer des enchainements d'émotions par le corps et la voix.</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Pratiquer — Explorer des rôles simples.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Pratiquer — Explorer le jeu dans une mise en scène collective.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Spectateur — Explorer l'espace scénique.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Spectateur — Explorer des œuvres adaptées.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Spectateur — Rencontrer des artistes et des professionnels.</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Acquisition des premiers outils mathématiques</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Découvrir les nombres</w:t>
            </w:r>
          </w:p>
        </w:tc>
      </w:tr>
      <w:tr>
        <w:tc>
          <w:tcPr>
            <w:tcW w:type="dxa" w:w="6406"/>
          </w:tcPr>
          <w:p>
            <w:pPr>
              <w:spacing w:before="20" w:after="20"/>
            </w:pPr>
            <w:r/>
            <w:r>
              <w:rPr>
                <w:rFonts w:ascii="Nunito" w:hAnsi="Nunito"/>
                <w:b w:val="0"/>
                <w:sz w:val="17"/>
              </w:rPr>
              <w:t>Exprimer une quantité par un nombre : Poursuivre la compréhension qu'une quantité d'objets ne dépend ni de la nature de ces objets ni de leur organisation spatiale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Exprimer une quantité par un nombre : Poursuivre la compréhension des faits suivants : si on ajoute un objet à une collection, le nombre qui désigne sa quantité est le suivant dans la suite orale des noms des nombres ; dans la suite orale des nombres, chaque nombre s'obtient en ajoutant un au nombre précédent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Exprimer une quantité par un nombre : Poursuivre les stratégies de parcours d'une collection en passant une et une seule fois par chacun de ses éléments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Exprimer une quantité par un nombre : Dénombrer une collection d'objets (jusqu'à dix, voire au-delà)</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Exprimer une quantité par un nombre : Constituer une collection d'un cardinal donné (jusqu'à dix, voire au-delà)</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Exprimer une quantité par un nombre : Comparer des quantités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Exprimer une quantité par un nombre : Composer et décomposer des nombres inférieurs ou égaux à dix, voire au-delà</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Exprimer une quantité par un nombre : Manipuler et verbaliser des compositions et des décompositions de nombres. Cela permet d'installer le fait que, dans une composition, l'ordre ne compte pas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Exprimer une quantité par un nombre : Surcompter (c'est-à-dire compter de un en un à partir d'un nombre donné)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Exprimer une quantité par un nombre : Associer une quantité, le nom d'un nombre et une écriture chiffrée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Exprimer une quantité par un nombre : Écrire en chiffres les nombres de un à dix</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Exprimer une quantité par un nombre : Connaitre et utiliser la comptine numérique jusqu'à trente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Exprimer un rang ou une position par un nombre : Comprendre la notion de rang d'un objet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Exprimer un rang ou une position par un nombre : Déterminer l'effet d'un déplacement sur une position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Exprimer un rang ou une position par un nombre : Comprendre le lien entre un ajout et un avancement et celui entre un retrait et un recul</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Exprimer un rang ou une position par un nombre : Construire la bande numérique jusqu'à dix</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Utiliser les nombres pour résoudre des problèmes</w:t>
            </w:r>
          </w:p>
        </w:tc>
      </w:tr>
      <w:tr>
        <w:tc>
          <w:tcPr>
            <w:tcW w:type="dxa" w:w="6406"/>
          </w:tcPr>
          <w:p>
            <w:pPr>
              <w:spacing w:before="20" w:after="20"/>
            </w:pPr>
            <w:r/>
            <w:r>
              <w:rPr>
                <w:rFonts w:ascii="Nunito" w:hAnsi="Nunito"/>
                <w:b w:val="0"/>
                <w:sz w:val="17"/>
              </w:rPr>
              <w:t>Déterminer le tout ou une partie dans un problème de parties-tout (d'abord deux parties, puis éventuellement trois)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Déterminer la quantité d'objets ayant été ajoutée ou retirée à une collection à partir de ses quantités initiale et finale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Déterminer la position finale (respectivement initiale) à partir de la position initiale (respectivement finale) et d'un déplacement sur une piste du type du jeu de l'oie ou sur la bande numérique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Déterminer le cardinal d'une collection à partir de celui d'une autre collection et de l'écart entre les deux</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Déterminer le tout dans un problème de groupement d'objets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Déterminer la valeur d'une part dans un problème de partage équitable (avec éventuellement un reste)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Explorer les solides et les formes planes</w:t>
            </w:r>
          </w:p>
        </w:tc>
      </w:tr>
      <w:tr>
        <w:tc>
          <w:tcPr>
            <w:tcW w:type="dxa" w:w="6406"/>
          </w:tcPr>
          <w:p>
            <w:pPr>
              <w:spacing w:before="20" w:after="20"/>
            </w:pPr>
            <w:r/>
            <w:r>
              <w:rPr>
                <w:rFonts w:ascii="Nunito" w:hAnsi="Nunito"/>
                <w:b w:val="0"/>
                <w:sz w:val="17"/>
              </w:rPr>
              <w:t>Décrire quelques solides simples : cube, pavé, boule, pyramides à base carrée ou triangulaire, cylindre, cône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Reconnaitre, trier et classer des formes géométriques planes, indépendamment d'autres critères comme la couleur, la taille, l'orientation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Décrire et nommer quelques figures géométriques simples : carré, rectangle, triangle, disque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Reproduire des assemblages de solides (au maximum cinq) et de formes planes (au maximum huit)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S'approprier la règle comme outil de tracé</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Explorer des grandeurs : la longueur, la masse</w:t>
            </w:r>
          </w:p>
        </w:tc>
      </w:tr>
      <w:tr>
        <w:tc>
          <w:tcPr>
            <w:tcW w:type="dxa" w:w="6406"/>
          </w:tcPr>
          <w:p>
            <w:pPr>
              <w:spacing w:before="20" w:after="20"/>
            </w:pPr>
            <w:r/>
            <w:r>
              <w:rPr>
                <w:rFonts w:ascii="Nunito" w:hAnsi="Nunito"/>
                <w:b w:val="0"/>
                <w:sz w:val="17"/>
              </w:rPr>
              <w:t>La longueur : Comparer indirectement des longueurs d'objets rectilignes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La longueur : Ordonner des objets rectilignes selon leur longueur (au maximum cinq)</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La longueur : Produire un objet rectiligne de même longueur qu'un objet donné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La masse : Ordonner les masses de trois objets. Verbaliser les résultats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La masse : Reconnaitre l'égalité de deux masses et verbaliser le résultat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 familiariser avec les motifs organisés</w:t>
            </w:r>
          </w:p>
        </w:tc>
      </w:tr>
      <w:tr>
        <w:tc>
          <w:tcPr>
            <w:tcW w:type="dxa" w:w="6406"/>
          </w:tcPr>
          <w:p>
            <w:pPr>
              <w:spacing w:before="20" w:after="20"/>
            </w:pPr>
            <w:r/>
            <w:r>
              <w:rPr>
                <w:rFonts w:ascii="Nunito" w:hAnsi="Nunito"/>
                <w:b w:val="0"/>
                <w:sz w:val="17"/>
              </w:rPr>
              <w:t>Repérer et décrire oralement la structure d'un motif évolutif (par exemple relevant de la transcription formelle ABAABBAAABBB)</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la structure d'un motif répétitif ou évolutif indépendamment des éléments physiques qui le composent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Créer des motifs de différentes natures</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Se repérer dans le temps et l'espace</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Se repérer dans le temps</w:t>
            </w:r>
          </w:p>
        </w:tc>
      </w:tr>
      <w:tr>
        <w:tc>
          <w:tcPr>
            <w:tcW w:type="dxa" w:w="6406"/>
          </w:tcPr>
          <w:p>
            <w:pPr>
              <w:spacing w:before="20" w:after="20"/>
            </w:pPr>
            <w:r/>
            <w:r>
              <w:rPr>
                <w:rFonts w:ascii="Nunito" w:hAnsi="Nunito"/>
                <w:b w:val="0"/>
                <w:sz w:val="17"/>
              </w:rPr>
              <w:t>Repères temporels — Situer un évènement dans la semaine.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Repères temporels — Continuer à s'approprier les temps conjugués (futur simple et futur antérieur) et les jours pour situer les évènements dans la semaine et situer un évènement qui va se produire.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Repères temporels — Énoncer la date.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Repères temporels — Utiliser des mois qui servent de repères pour se situer dans l'année.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Repères temporels — Nommer la plupart des mois de l'année.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Repères temporels — Connaitre les saisons.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Chronologie — Repérer les différentes étapes d'un processus ou d'un évènement vécu et les ordonner.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Chronologie — Repérer l'antériorité d'une action par rapport à une autre dans un scénario : imparfait, plus-que-parfait, imparfait du verbe « aller » à valeur de futur proche dans le passé.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Chronologie — Ordonner des évènements passés les uns par rapport aux autres, dans l'année scolaire.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Chronologie — Relater des évènements passés ou à venir qui indiquent la succession, l'antériorité, la postériorité et la simultanéité.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Durée — Commencer à utiliser les repères donnés par les professeurs pour organiser son activité dans un temps imparti.</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Durée — Comparer des durées.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Durée — Comprendre progressivement qu'il existe un temps long, un passé très éloigné, des évènements antérieurs à notre propre vie.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 repérer dans l'espace</w:t>
            </w:r>
          </w:p>
        </w:tc>
      </w:tr>
      <w:tr>
        <w:tc>
          <w:tcPr>
            <w:tcW w:type="dxa" w:w="6406"/>
          </w:tcPr>
          <w:p>
            <w:pPr>
              <w:spacing w:before="20" w:after="20"/>
            </w:pPr>
            <w:r/>
            <w:r>
              <w:rPr>
                <w:rFonts w:ascii="Nunito" w:hAnsi="Nunito"/>
                <w:b w:val="0"/>
                <w:sz w:val="17"/>
              </w:rPr>
              <w:t>Expérience — Réaliser des assemblages complexes.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Expérience — Situer des objets dans un ensemble ordonné.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Expérience — Situer des objets par rapport à soi, construire une image orientée de son corps.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Expérience — Réaliser un trajet, un parcours dans un environnement connu.</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Expérience — Utiliser une page en respectant les normes d'écriture.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Expérience — Reconnaitre quelques espaces géographiques sur un planisphère.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Expérience — Enrichir le lexique relatif à l'espace de mots plus complexes ou désignant un espace plus éloigné.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Représentation — Reproduire un parcours sur une représentation plane.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Représentation — Représenter l'environnement proche.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Représentation — Restituer oralement un déplacement mémorisé.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Représentation — Représenter la proximité ou l'éloignement d'un sujet.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Représentation — Représenter divers éléments sur un plan.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Environnement — Reconnaitre les espaces proches de l'école et leurs usages.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Environnement — Reconnaitre des espaces moins familiers.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Environnement — Observer l'habitat proche de l'école.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Représentation — Représenter un déplacement.</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Découvrir le monde du vivant, de la matière et des objets</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Découvrir le monde du vivant</w:t>
            </w:r>
          </w:p>
        </w:tc>
      </w:tr>
      <w:tr>
        <w:tc>
          <w:tcPr>
            <w:tcW w:type="dxa" w:w="6406"/>
          </w:tcPr>
          <w:p>
            <w:pPr>
              <w:spacing w:before="20" w:after="20"/>
            </w:pPr>
            <w:r/>
            <w:r>
              <w:rPr>
                <w:rFonts w:ascii="Nunito" w:hAnsi="Nunito"/>
                <w:b w:val="0"/>
                <w:sz w:val="17"/>
              </w:rPr>
              <w:t>Vivant — Identifier des éléments morphologiques spécifiques à une espèce végétale ou animale.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Vivant — Reconnaitre les étapes de la vie d'un animal ou d'une plante.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Vivant — Décrire les besoins essentiels de quelques animaux ou de végétaux.</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Vivant — Contribuer à une action collective favorable à la préservation de la biodiversité dans un milieu proche de l'école.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Corps — Identifier et nommer quelques articulations et la segmentation des membres.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Corps — Se représenter avec un corps articulé en mouvement.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Corps — Connaitre quelques étapes de la vie d'un enfant jusqu'à six ans.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Découvrir le monde de la matière et des objets</w:t>
            </w:r>
          </w:p>
        </w:tc>
      </w:tr>
      <w:tr>
        <w:tc>
          <w:tcPr>
            <w:tcW w:type="dxa" w:w="6406"/>
          </w:tcPr>
          <w:p>
            <w:pPr>
              <w:spacing w:before="20" w:after="20"/>
            </w:pPr>
            <w:r/>
            <w:r>
              <w:rPr>
                <w:rFonts w:ascii="Nunito" w:hAnsi="Nunito"/>
                <w:b w:val="0"/>
                <w:sz w:val="17"/>
              </w:rPr>
              <w:t>Objets — Associer une solution technique à une fonction technique.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Objets — Fabriquer un objet en réponse à un besoin en exploitant des propriétés de matériaux ou des phénomènes physiques (équilibre, magnétisme, perméabilité, opacité ou transparence).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Objets — Explorer la notion de flottabilité avec des objets pleins constitués d'une seule et même matière : observer que, plongés dans l'eau, ils flottent tous ou coulent tous.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Objets — Construire, fabriquer, réaliser en suivant une recette ou une fiche technique.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Objets — Élaborer une suite d'instructions pour réaliser une tâche simple.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Objets — Identifier et prévenir les risques liés à certains objets.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Matière — Identifier et nommer l'état de l'eau dans différentes situations.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Matière — Identifier la présence de l'air quand il est perceptible par les sens.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Matière — Distinguer, parmi quelques solides, ceux qui peuvent se dissoudre dans l'eau.</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Matière — Commencer à agir de manière autonome pour le respect de l'environnement.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Matière — Prendre en compte les risques de l'environnement familier.</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Apprendre ensemble et vivre ensemble  (dimension transversale du préambule)</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Comprendre l'école et respecter les règles de vie</w:t>
            </w:r>
          </w:p>
        </w:tc>
      </w:tr>
      <w:tr>
        <w:tc>
          <w:tcPr>
            <w:tcW w:type="dxa" w:w="6406"/>
          </w:tcPr>
          <w:p>
            <w:pPr>
              <w:spacing w:before="20" w:after="20"/>
            </w:pPr>
            <w:r/>
            <w:r>
              <w:rPr>
                <w:rFonts w:ascii="Nunito" w:hAnsi="Nunito"/>
                <w:b w:val="0"/>
                <w:sz w:val="17"/>
              </w:rPr>
              <w:t>Comprendre et justifier le sens des règles de vie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Participer à l'élaboration des règles de la classe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Agir de façon autonome dans les différents espaces de l'école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Vivre et coopérer avec les autres</w:t>
            </w:r>
          </w:p>
        </w:tc>
      </w:tr>
      <w:tr>
        <w:tc>
          <w:tcPr>
            <w:tcW w:type="dxa" w:w="6406"/>
          </w:tcPr>
          <w:p>
            <w:pPr>
              <w:spacing w:before="20" w:after="20"/>
            </w:pPr>
            <w:r/>
            <w:r>
              <w:rPr>
                <w:rFonts w:ascii="Nunito" w:hAnsi="Nunito"/>
                <w:b w:val="0"/>
                <w:sz w:val="17"/>
              </w:rPr>
              <w:t>Coopérer dans la réalisation d'un projet commun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Prendre et tenir un rôle ou une responsabilité dans le groupe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Aider volontairement ses camarades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Tenir compte de l'avis des autres et confronter son point de vue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Verbaliser et réguler ses émotions, faire preuve d'empathie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Devenir élève : autonomie et engagement</w:t>
            </w:r>
          </w:p>
        </w:tc>
      </w:tr>
      <w:tr>
        <w:tc>
          <w:tcPr>
            <w:tcW w:type="dxa" w:w="6406"/>
          </w:tcPr>
          <w:p>
            <w:pPr>
              <w:spacing w:before="20" w:after="20"/>
            </w:pPr>
            <w:r/>
            <w:r>
              <w:rPr>
                <w:rFonts w:ascii="Nunito" w:hAnsi="Nunito"/>
                <w:b w:val="0"/>
                <w:sz w:val="17"/>
              </w:rPr>
              <w:t>S'engager dans un projet en mobilisant ses propres ressources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Persévérer dans l'effort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Commenter ses réussites, ses essais et ses erreurs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ce qu'on apprend et à quoi ça sert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Faire le bilan d'une activité ou d'une journée</w:t>
            </w:r>
          </w:p>
        </w:tc>
        <w:tc>
          <w:tcPr>
            <w:tcW w:type="dxa" w:w="737"/>
          </w:tcPr>
          <w:p/>
        </w:tc>
        <w:tc>
          <w:tcPr>
            <w:tcW w:type="dxa" w:w="737"/>
          </w:tcPr>
          <w:p/>
        </w:tc>
        <w:tc>
          <w:tcPr>
            <w:tcW w:type="dxa" w:w="737"/>
          </w:tcPr>
          <w:p/>
        </w:tc>
        <w:tc>
          <w:tcPr>
            <w:tcW w:type="dxa" w:w="737"/>
          </w:tcPr>
          <w:p/>
        </w:tc>
        <w:tc>
          <w:tcPr>
            <w:tcW w:type="dxa" w:w="737"/>
          </w:tcPr>
          <w:p/>
        </w:tc>
      </w:tr>
    </w:tbl>
    <w:p/>
    <w:p>
      <w:r>
        <w:br w:type="page"/>
      </w:r>
    </w:p>
    <w:p>
      <w:pPr>
        <w:spacing w:after="40"/>
      </w:pPr>
      <w:r>
        <w:rPr>
          <w:rFonts w:ascii="Nunito" w:hAnsi="Nunito"/>
          <w:b/>
          <w:color w:val="F97316"/>
          <w:sz w:val="18"/>
        </w:rPr>
        <w:t>ET SI LE CAHIER SE REMPLISSAIT TOUT SEUL ?</w:t>
      </w:r>
    </w:p>
    <w:p>
      <w:pPr>
        <w:spacing w:after="120"/>
      </w:pPr>
      <w:r>
        <w:rPr>
          <w:rFonts w:ascii="Nunito" w:hAnsi="Nunito"/>
          <w:b/>
          <w:color w:val="1F6F4E"/>
          <w:sz w:val="40"/>
        </w:rPr>
        <w:t>Tifox</w:t>
      </w:r>
    </w:p>
    <w:p>
      <w:pPr>
        <w:spacing w:after="200"/>
      </w:pPr>
      <w:r>
        <w:rPr>
          <w:rFonts w:ascii="Nunito" w:hAnsi="Nunito"/>
          <w:b w:val="0"/>
          <w:color w:val="1A2420"/>
          <w:sz w:val="21"/>
        </w:rPr>
        <w:t>Cette trame vous aide à prévoir l'année. Le carnet de suivi, lui, doit montrer ce que chaque élève a réellement réussi, et c'est celui-là qui est obligatoire. C'est le travail que Tifox prend en charge.</w:t>
      </w:r>
    </w:p>
    <w:p>
      <w:pPr>
        <w:pStyle w:val="ListBullet"/>
        <w:spacing w:after="60"/>
      </w:pPr>
      <w:r>
        <w:rPr>
          <w:rFonts w:ascii="Nunito" w:hAnsi="Nunito"/>
          <w:color w:val="1A2420"/>
          <w:sz w:val="20"/>
        </w:rPr>
        <w:t>Vous photographiez une réussite, vous la reliez à l'attendu concerné, c'est tout.</w:t>
      </w:r>
    </w:p>
    <w:p>
      <w:pPr>
        <w:pStyle w:val="ListBullet"/>
        <w:spacing w:after="60"/>
      </w:pPr>
      <w:r>
        <w:rPr>
          <w:rFonts w:ascii="Nunito" w:hAnsi="Nunito"/>
          <w:color w:val="1A2420"/>
          <w:sz w:val="20"/>
        </w:rPr>
        <w:t>Le cahier de réussite se compose au fil de l'année, sans ressaisie.</w:t>
      </w:r>
    </w:p>
    <w:p>
      <w:pPr>
        <w:pStyle w:val="ListBullet"/>
        <w:spacing w:after="60"/>
      </w:pPr>
      <w:r>
        <w:rPr>
          <w:rFonts w:ascii="Nunito" w:hAnsi="Nunito"/>
          <w:color w:val="1A2420"/>
          <w:sz w:val="20"/>
        </w:rPr>
        <w:t>Les six domaines du programme 2026 sont déjà dedans, avec leurs attendus.</w:t>
      </w:r>
    </w:p>
    <w:p>
      <w:pPr>
        <w:pStyle w:val="ListBullet"/>
        <w:spacing w:after="60"/>
      </w:pPr>
      <w:r>
        <w:rPr>
          <w:rFonts w:ascii="Nunito" w:hAnsi="Nunito"/>
          <w:color w:val="1A2420"/>
          <w:sz w:val="20"/>
        </w:rPr>
        <w:t>En fin de grande section, la synthèse des acquis se remplit à partir de ce qui a déjà été observé.</w:t>
      </w:r>
    </w:p>
    <w:p>
      <w:pPr>
        <w:spacing w:after="120"/>
      </w:pPr>
      <w:r>
        <w:rPr>
          <w:rFonts w:ascii="Nunito" w:hAnsi="Nunito"/>
          <w:b w:val="0"/>
          <w:sz w:val="12"/>
        </w:rPr>
      </w:r>
    </w:p>
    <w:p>
      <w:pPr>
        <w:spacing w:after="40"/>
      </w:pPr>
      <w:r>
        <w:rPr>
          <w:rFonts w:ascii="Nunito" w:hAnsi="Nunito"/>
          <w:b/>
          <w:color w:val="1A2420"/>
          <w:sz w:val="21"/>
        </w:rPr>
        <w:t>Gratuit jusqu'à 3 élèves, sans carte bancaire.</w:t>
      </w:r>
    </w:p>
    <w:p>
      <w:pPr>
        <w:spacing w:after="200"/>
      </w:pPr>
      <w:r>
        <w:rPr>
          <w:rFonts w:ascii="Nunito" w:hAnsi="Nunito"/>
          <w:b w:val="0"/>
          <w:color w:val="1F6F4E"/>
          <w:sz w:val="21"/>
        </w:rPr>
        <w:t>Sur ordinateur, tablette et téléphone. tifox-maternelle.fr</w:t>
      </w:r>
    </w:p>
    <w:p>
      <w:pPr>
        <w:spacing w:after="120"/>
      </w:pPr>
      <w:r>
        <w:rPr>
          <w:rFonts w:ascii="Nunito" w:hAnsi="Nunito"/>
          <w:b w:val="0"/>
          <w:color w:val="6B7280"/>
          <w:sz w:val="18"/>
        </w:rPr>
        <w:t>Document distribué gratuitement. Vous pouvez l'imprimer, le modifier et le partager avec vos collègues.</w:t>
      </w:r>
    </w:p>
    <w:sectPr w:rsidR="00FC693F" w:rsidRPr="0006063C" w:rsidSect="00034616">
      <w:pgSz w:w="12240" w:h="15840"/>
      <w:pgMar w:top="907" w:right="907" w:bottom="907"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Programmation annuelle 2026 - Grande section</dc:title>
  <dc:subject>Programmation annuelle Grande section, programme 2026, 175 attendus</dc:subject>
  <dc:creator>Tifox</dc:creator>
  <cp:keywords/>
  <dc:description>generated by python-docx</dc:description>
  <cp:lastModifiedBy/>
  <cp:revision>1</cp:revision>
  <dcterms:created xsi:type="dcterms:W3CDTF">2013-12-23T23:15:00Z</dcterms:created>
  <dcterms:modified xsi:type="dcterms:W3CDTF">2013-12-23T23:15:00Z</dcterms:modified>
  <cp:category/>
</cp:coreProperties>
</file>